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547D6C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D6C">
        <w:rPr>
          <w:rFonts w:ascii="Times New Roman" w:hAnsi="Times New Roman" w:cs="Times New Roman"/>
          <w:sz w:val="24"/>
          <w:szCs w:val="24"/>
        </w:rPr>
        <w:t>Додаток 1</w:t>
      </w:r>
    </w:p>
    <w:p w:rsidR="00225201" w:rsidRPr="00547D6C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D6C">
        <w:rPr>
          <w:rFonts w:ascii="Times New Roman" w:hAnsi="Times New Roman" w:cs="Times New Roman"/>
          <w:sz w:val="24"/>
          <w:szCs w:val="24"/>
        </w:rPr>
        <w:t>До наказу ТУ ДСА України в Волинській області</w:t>
      </w:r>
    </w:p>
    <w:p w:rsidR="00225201" w:rsidRPr="00547D6C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F43">
        <w:rPr>
          <w:rFonts w:ascii="Times New Roman" w:hAnsi="Times New Roman" w:cs="Times New Roman"/>
          <w:sz w:val="24"/>
          <w:szCs w:val="24"/>
        </w:rPr>
        <w:t>№</w:t>
      </w:r>
      <w:r w:rsidR="0089181F">
        <w:rPr>
          <w:rFonts w:ascii="Times New Roman" w:hAnsi="Times New Roman" w:cs="Times New Roman"/>
          <w:sz w:val="24"/>
          <w:szCs w:val="24"/>
          <w:u w:val="single"/>
        </w:rPr>
        <w:t>128</w:t>
      </w:r>
      <w:r w:rsidRPr="00CA6F43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B1AB7" w:rsidRPr="00CA6F43">
        <w:rPr>
          <w:rFonts w:ascii="Times New Roman" w:hAnsi="Times New Roman" w:cs="Times New Roman"/>
          <w:sz w:val="24"/>
          <w:szCs w:val="24"/>
          <w:u w:val="single"/>
        </w:rPr>
        <w:t>01-0</w:t>
      </w:r>
      <w:r w:rsidR="00275885" w:rsidRPr="00CA6F4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A6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25201" w:rsidRPr="00CA6F43">
        <w:rPr>
          <w:rFonts w:ascii="Times New Roman" w:hAnsi="Times New Roman" w:cs="Times New Roman"/>
          <w:sz w:val="24"/>
          <w:szCs w:val="24"/>
          <w:u w:val="single"/>
        </w:rPr>
        <w:t>від</w:t>
      </w:r>
      <w:r w:rsidRPr="00CA6F4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9181F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="00057C8D" w:rsidRPr="00CA6F4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A10DE" w:rsidRPr="00CA6F4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8538B" w:rsidRPr="00CA6F43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9041EA" w:rsidRPr="00CA6F43">
        <w:rPr>
          <w:rFonts w:ascii="Times New Roman" w:hAnsi="Times New Roman" w:cs="Times New Roman"/>
          <w:sz w:val="24"/>
          <w:szCs w:val="24"/>
          <w:u w:val="single"/>
        </w:rPr>
        <w:t xml:space="preserve"> року</w:t>
      </w:r>
    </w:p>
    <w:p w:rsidR="00E2053C" w:rsidRPr="00547D6C" w:rsidRDefault="00E2053C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6D0" w:rsidRPr="00547D6C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6C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0E1C81" w:rsidRPr="00547D6C" w:rsidRDefault="000E1C81" w:rsidP="00E2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6C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75885" w:rsidRPr="00547D6C" w:rsidRDefault="000E1C81" w:rsidP="00E2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6C">
        <w:rPr>
          <w:rFonts w:ascii="Times New Roman" w:hAnsi="Times New Roman" w:cs="Times New Roman"/>
          <w:b/>
          <w:sz w:val="24"/>
          <w:szCs w:val="24"/>
        </w:rPr>
        <w:t xml:space="preserve">на зайняття </w:t>
      </w:r>
      <w:r w:rsidR="00275885" w:rsidRPr="00547D6C">
        <w:rPr>
          <w:rFonts w:ascii="Times New Roman" w:hAnsi="Times New Roman" w:cs="Times New Roman"/>
          <w:b/>
          <w:sz w:val="24"/>
          <w:szCs w:val="24"/>
        </w:rPr>
        <w:t>вакантної посади д</w:t>
      </w:r>
      <w:r w:rsidR="00057C8D" w:rsidRPr="00547D6C">
        <w:rPr>
          <w:rFonts w:ascii="Times New Roman" w:hAnsi="Times New Roman" w:cs="Times New Roman"/>
          <w:b/>
          <w:sz w:val="24"/>
          <w:szCs w:val="24"/>
        </w:rPr>
        <w:t>ержавного службовця категорії «В</w:t>
      </w:r>
      <w:r w:rsidR="00275885" w:rsidRPr="00547D6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053C" w:rsidRPr="00547D6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7C8D" w:rsidRPr="00547D6C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275885" w:rsidRPr="0054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3C" w:rsidRPr="00547D6C">
        <w:rPr>
          <w:rFonts w:ascii="Times New Roman" w:hAnsi="Times New Roman" w:cs="Times New Roman"/>
          <w:b/>
          <w:sz w:val="24"/>
          <w:szCs w:val="24"/>
        </w:rPr>
        <w:t>сектору організаційного забезпечення діяльності судів, судової статистики та інформатизації територіального управління Державної судової адміністрації України в Волинській області</w:t>
      </w:r>
    </w:p>
    <w:p w:rsidR="00E2053C" w:rsidRPr="00547D6C" w:rsidRDefault="00E2053C" w:rsidP="00E20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2"/>
        <w:gridCol w:w="2387"/>
        <w:gridCol w:w="7221"/>
        <w:gridCol w:w="10"/>
      </w:tblGrid>
      <w:tr w:rsidR="00275885" w:rsidRPr="00547D6C" w:rsidTr="00BF0953">
        <w:tc>
          <w:tcPr>
            <w:tcW w:w="10140" w:type="dxa"/>
            <w:gridSpan w:val="4"/>
          </w:tcPr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7D6C">
              <w:rPr>
                <w:rFonts w:ascii="Times New Roman" w:hAnsi="Times New Roman" w:cs="Times New Roman"/>
              </w:rPr>
              <w:t>Загальні умови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 xml:space="preserve">Посадові обов’язки </w:t>
            </w:r>
          </w:p>
        </w:tc>
        <w:tc>
          <w:tcPr>
            <w:tcW w:w="7221" w:type="dxa"/>
          </w:tcPr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Аналізує та узагальнює практику застосування законодавства з питань організаційного забезпечення діяльності судів, судової статистики, архівної роботи та інформатизації. За результатами вносить відповідні пропозиції.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Організовує діяльність головних спеціалістів місцевих загальних судів області, відповідальних за інформатизацію, координує їх роботу, здійснює контроль за виконанням вказаними  підрозділами законодавства України, організовує та координує діяльність архівних підрозділів у судах області, здійснює контроль за виконанням ними вимог чинного законодавства України.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Забезпечує достовірність, об'єктивність, оперативність, стабільність та цілісність статистичної інформації про роботу судів області.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Здійснює контроль щодо наповнення інформацією автоматизованої системи документообігу суду та надає методичні рекомендації щодо повноти та достовірності введення місцевими судами даних до автоматизованої системи документообігу.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Здійснює зведення відомчої звітності про роботу судів області з питань, віднесених до компетенції сектору. Несе відповідальність за її повноту та своєчасність подачі.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Готує статистичні таблиці, довідки, інформації для використання на оперативних нарадах, для інших відомств, підзвітних структур, обробляє за допомогою програмно-технологічних засобів  звіти  про стан здійснення правосуддя місцевими загальними судами.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Бере участь у розробці проектів документів первинного обліку, інструкцій по їх заповненню, методичних посібників з питань ведення судової статистики, діловодства, ведення архівної роботи.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Бере участь в організації, впровадженні в судах комп'ютеризації для судочинства, діловодства та інформаційно-нормативного забезпечення судової діяльності та  участь у вивченні стану організації діяльності судів з питань, віднесених до компетенції сектору.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>Здійснює через засоби масової інформації та офіційний веб-сайт територіального управління інформування населення щодо діяльності судів, територіального управління з питань, що відносяться до компетенції сектору.</w:t>
            </w:r>
          </w:p>
          <w:p w:rsidR="00275885" w:rsidRPr="001904D2" w:rsidRDefault="001904D2" w:rsidP="001904D2">
            <w:pPr>
              <w:pStyle w:val="ab"/>
              <w:numPr>
                <w:ilvl w:val="0"/>
                <w:numId w:val="11"/>
              </w:numPr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306AF">
              <w:rPr>
                <w:lang w:val="uk-UA"/>
              </w:rPr>
              <w:t xml:space="preserve">Розробляє плани (програми) виробничого навчання працівників територіального управління на відповідний рік, з урахуванням пропозицій наданих керівниками структурних підрозділів територіального управління, організовує та проводить </w:t>
            </w:r>
            <w:r w:rsidRPr="004306AF">
              <w:rPr>
                <w:lang w:val="uk-UA"/>
              </w:rPr>
              <w:lastRenderedPageBreak/>
              <w:t>відповідно до затверджених начальником управління планів (програм) виробниче навчання з працівниками управління.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lastRenderedPageBreak/>
              <w:t>Умови оплати праці</w:t>
            </w:r>
          </w:p>
        </w:tc>
        <w:tc>
          <w:tcPr>
            <w:tcW w:w="7221" w:type="dxa"/>
          </w:tcPr>
          <w:p w:rsidR="00D8538B" w:rsidRPr="00547D6C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057C8D" w:rsidRPr="00547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8D" w:rsidRPr="00547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65E" w:rsidRPr="00547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C8D" w:rsidRPr="00547D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>,00 гривень відповідно до постанови Кабінету Міністрів України від 24.05.2017 № 358 "Деякі питання оплати праці державних службовців, органів та установ системи правосуддя";</w:t>
            </w:r>
          </w:p>
          <w:p w:rsidR="00275885" w:rsidRPr="00547D6C" w:rsidRDefault="00D8538B" w:rsidP="00D8538B">
            <w:pPr>
              <w:pStyle w:val="a5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Безстрокове призначення.</w:t>
            </w:r>
          </w:p>
          <w:p w:rsidR="00057C8D" w:rsidRPr="00547D6C" w:rsidRDefault="00057C8D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eastAsia="Times New Roman" w:hAnsi="Times New Roman" w:cs="Times New Roman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547D6C">
              <w:rPr>
                <w:rFonts w:ascii="Times New Roman" w:eastAsiaTheme="minorHAnsi" w:hAnsi="Times New Roman"/>
                <w:lang w:val="uk-UA"/>
              </w:rPr>
              <w:t>1) З</w:t>
            </w:r>
            <w:r w:rsidRPr="00547D6C">
              <w:rPr>
                <w:rFonts w:ascii="Times New Roman" w:hAnsi="Times New Roman"/>
                <w:lang w:val="uk-UA"/>
              </w:rPr>
              <w:t>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1" w:name="n1171"/>
            <w:bookmarkEnd w:id="1"/>
            <w:r w:rsidRPr="00547D6C">
              <w:rPr>
                <w:rFonts w:ascii="Times New Roman" w:eastAsiaTheme="minorHAnsi" w:hAnsi="Times New Roman"/>
                <w:lang w:val="uk-UA"/>
              </w:rPr>
              <w:t xml:space="preserve">2) Резюме за формою згідно з </w:t>
            </w:r>
            <w:hyperlink r:id="rId6" w:anchor="n1039" w:history="1">
              <w:r w:rsidRPr="00547D6C">
                <w:rPr>
                  <w:rFonts w:ascii="Times New Roman" w:eastAsiaTheme="minorHAnsi" w:hAnsi="Times New Roman"/>
                  <w:lang w:val="uk-UA"/>
                </w:rPr>
                <w:t>додатком 2</w:t>
              </w:r>
            </w:hyperlink>
            <w:r w:rsidR="00DD2DA9">
              <w:rPr>
                <w:vertAlign w:val="superscript"/>
                <w:lang w:val="uk-UA"/>
              </w:rPr>
              <w:t>1</w:t>
            </w:r>
            <w:r w:rsidRPr="00547D6C">
              <w:rPr>
                <w:rFonts w:ascii="Times New Roman" w:eastAsiaTheme="minorHAnsi" w:hAnsi="Times New Roman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2" w:name="n1172"/>
            <w:bookmarkEnd w:id="2"/>
            <w:r w:rsidRPr="00547D6C">
              <w:rPr>
                <w:rFonts w:ascii="Times New Roman" w:eastAsiaTheme="minorHAnsi" w:hAnsi="Times New Roman"/>
                <w:lang w:val="uk-UA"/>
              </w:rPr>
              <w:t>- прізвище, ім’я, по батькові кандидата;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3" w:name="n1173"/>
            <w:bookmarkEnd w:id="3"/>
            <w:r w:rsidRPr="00547D6C">
              <w:rPr>
                <w:rFonts w:ascii="Times New Roman" w:eastAsiaTheme="minorHAnsi" w:hAnsi="Times New Roman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4" w:name="n1174"/>
            <w:bookmarkEnd w:id="4"/>
            <w:r w:rsidRPr="00547D6C">
              <w:rPr>
                <w:rFonts w:ascii="Times New Roman" w:eastAsiaTheme="minorHAnsi" w:hAnsi="Times New Roman"/>
                <w:lang w:val="uk-UA"/>
              </w:rPr>
              <w:t>- підтвердження наявності відповідного ступеня вищої освіти;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5" w:name="n1175"/>
            <w:bookmarkStart w:id="6" w:name="n1176"/>
            <w:bookmarkEnd w:id="5"/>
            <w:bookmarkEnd w:id="6"/>
            <w:r w:rsidRPr="00547D6C">
              <w:rPr>
                <w:rFonts w:ascii="Times New Roman" w:eastAsiaTheme="minorHAnsi" w:hAnsi="Times New Roman"/>
                <w:lang w:val="uk-UA"/>
              </w:rPr>
              <w:t xml:space="preserve"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посадах; </w:t>
            </w:r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7" w:name="n1446"/>
            <w:bookmarkEnd w:id="7"/>
          </w:p>
          <w:p w:rsidR="00275885" w:rsidRPr="00547D6C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bookmarkStart w:id="8" w:name="n1177"/>
            <w:bookmarkEnd w:id="8"/>
            <w:r w:rsidRPr="00547D6C">
              <w:rPr>
                <w:rFonts w:ascii="Times New Roman" w:eastAsiaTheme="minorHAnsi" w:hAnsi="Times New Roman"/>
                <w:lang w:val="uk-UA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7" w:anchor="n13" w:tgtFrame="_blank" w:history="1">
              <w:r w:rsidRPr="00547D6C">
                <w:rPr>
                  <w:rFonts w:ascii="Times New Roman" w:eastAsiaTheme="minorHAnsi" w:hAnsi="Times New Roman"/>
                  <w:lang w:val="uk-UA"/>
                </w:rPr>
                <w:t>третьою</w:t>
              </w:r>
            </w:hyperlink>
            <w:r w:rsidRPr="00547D6C">
              <w:rPr>
                <w:rFonts w:ascii="Times New Roman" w:eastAsiaTheme="minorHAnsi" w:hAnsi="Times New Roman"/>
                <w:lang w:val="uk-UA"/>
              </w:rPr>
              <w:t xml:space="preserve"> або </w:t>
            </w:r>
            <w:hyperlink r:id="rId8" w:anchor="n14" w:tgtFrame="_blank" w:history="1">
              <w:r w:rsidRPr="00547D6C">
                <w:rPr>
                  <w:rFonts w:ascii="Times New Roman" w:eastAsiaTheme="minorHAnsi" w:hAnsi="Times New Roman"/>
                  <w:lang w:val="uk-UA"/>
                </w:rPr>
                <w:t>четвертою</w:t>
              </w:r>
            </w:hyperlink>
            <w:r w:rsidRPr="00547D6C">
              <w:rPr>
                <w:rFonts w:ascii="Times New Roman" w:eastAsiaTheme="minorHAnsi" w:hAnsi="Times New Roman"/>
                <w:lang w:val="uk-UA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D2DA9" w:rsidRDefault="00DD2DA9" w:rsidP="00DD2DA9">
            <w:pPr>
              <w:pStyle w:val="aa"/>
              <w:jc w:val="both"/>
              <w:rPr>
                <w:rFonts w:ascii="Times New Roman" w:eastAsiaTheme="minorHAnsi" w:hAnsi="Times New Roman"/>
                <w:highlight w:val="yellow"/>
                <w:lang w:val="uk-UA"/>
              </w:rPr>
            </w:pPr>
            <w:bookmarkStart w:id="9" w:name="n1508"/>
            <w:bookmarkEnd w:id="9"/>
          </w:p>
          <w:p w:rsidR="00DD2DA9" w:rsidRPr="00DD2DA9" w:rsidRDefault="00742ACE" w:rsidP="00DD2DA9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/>
              </w:rPr>
              <w:t>4</w:t>
            </w:r>
            <w:r w:rsidR="00DD2DA9" w:rsidRPr="00DD2DA9">
              <w:rPr>
                <w:rFonts w:ascii="Times New Roman" w:eastAsiaTheme="minorHAnsi" w:hAnsi="Times New Roman"/>
                <w:lang w:val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75885" w:rsidRDefault="00275885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  <w:r w:rsidRPr="00DD2DA9">
              <w:rPr>
                <w:rFonts w:ascii="Times New Roman" w:eastAsiaTheme="minorHAnsi" w:hAnsi="Times New Roman"/>
                <w:lang w:val="uk-UA"/>
              </w:rPr>
              <w:t>Подача додатків до заяви не є обов’язковою</w:t>
            </w:r>
            <w:r w:rsidR="00DD2DA9" w:rsidRPr="00DD2DA9">
              <w:rPr>
                <w:rFonts w:ascii="Times New Roman" w:eastAsiaTheme="minorHAnsi" w:hAnsi="Times New Roman"/>
                <w:lang w:val="uk-UA"/>
              </w:rPr>
              <w:t>.</w:t>
            </w:r>
          </w:p>
          <w:p w:rsidR="00DD2DA9" w:rsidRPr="00547D6C" w:rsidRDefault="00DD2DA9" w:rsidP="00BF0953">
            <w:pPr>
              <w:pStyle w:val="aa"/>
              <w:jc w:val="both"/>
              <w:rPr>
                <w:rFonts w:ascii="Times New Roman" w:eastAsiaTheme="minorHAnsi" w:hAnsi="Times New Roman"/>
                <w:lang w:val="uk-UA"/>
              </w:rPr>
            </w:pPr>
          </w:p>
          <w:p w:rsidR="00275885" w:rsidRPr="00547D6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right="55"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sz w:val="22"/>
                <w:szCs w:val="22"/>
                <w:lang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547D6C">
              <w:rPr>
                <w:rFonts w:eastAsiaTheme="minorHAnsi"/>
                <w:sz w:val="22"/>
                <w:szCs w:val="22"/>
                <w:lang w:eastAsia="en-US"/>
              </w:rPr>
              <w:t>компетентностей</w:t>
            </w:r>
            <w:proofErr w:type="spellEnd"/>
            <w:r w:rsidRPr="00547D6C">
              <w:rPr>
                <w:rFonts w:eastAsiaTheme="minorHAnsi"/>
                <w:sz w:val="22"/>
                <w:szCs w:val="22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885" w:rsidRPr="00547D6C" w:rsidRDefault="00275885" w:rsidP="00BF0953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0" w:name="n1182"/>
            <w:bookmarkEnd w:id="10"/>
            <w:r w:rsidRPr="00547D6C">
              <w:rPr>
                <w:rFonts w:eastAsiaTheme="minorHAnsi"/>
                <w:sz w:val="22"/>
                <w:szCs w:val="22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75885" w:rsidRPr="00547D6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Інформація подається через Єдиний портал вакансій державної служби НАДС до </w:t>
            </w:r>
            <w:r w:rsidR="009A3B96" w:rsidRPr="009A3B96">
              <w:rPr>
                <w:rFonts w:ascii="Times New Roman" w:hAnsi="Times New Roman" w:cs="Times New Roman"/>
                <w:highlight w:val="yellow"/>
              </w:rPr>
              <w:t>01</w:t>
            </w:r>
            <w:r w:rsidRPr="009A3B9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A3B96" w:rsidRPr="009A3B96">
              <w:rPr>
                <w:rFonts w:ascii="Times New Roman" w:hAnsi="Times New Roman" w:cs="Times New Roman"/>
                <w:highlight w:val="yellow"/>
              </w:rPr>
              <w:t>жовтня</w:t>
            </w:r>
            <w:r w:rsidRPr="009A3B96">
              <w:rPr>
                <w:rFonts w:ascii="Times New Roman" w:hAnsi="Times New Roman" w:cs="Times New Roman"/>
                <w:highlight w:val="yellow"/>
              </w:rPr>
              <w:t xml:space="preserve"> 202</w:t>
            </w:r>
            <w:r w:rsidR="00D8538B" w:rsidRPr="009A3B96">
              <w:rPr>
                <w:rFonts w:ascii="Times New Roman" w:hAnsi="Times New Roman" w:cs="Times New Roman"/>
                <w:highlight w:val="yellow"/>
              </w:rPr>
              <w:t>1</w:t>
            </w:r>
            <w:r w:rsidR="00C95DDB" w:rsidRPr="009A3B96">
              <w:rPr>
                <w:rFonts w:ascii="Times New Roman" w:hAnsi="Times New Roman" w:cs="Times New Roman"/>
                <w:highlight w:val="yellow"/>
              </w:rPr>
              <w:t xml:space="preserve"> року </w:t>
            </w:r>
            <w:r w:rsidR="00025520">
              <w:rPr>
                <w:rFonts w:ascii="Times New Roman" w:hAnsi="Times New Roman" w:cs="Times New Roman"/>
                <w:highlight w:val="yellow"/>
              </w:rPr>
              <w:t>15</w:t>
            </w:r>
            <w:r w:rsidR="00C95DDB" w:rsidRPr="009A3B96">
              <w:rPr>
                <w:rFonts w:ascii="Times New Roman" w:hAnsi="Times New Roman" w:cs="Times New Roman"/>
                <w:highlight w:val="yellow"/>
              </w:rPr>
              <w:t>.</w:t>
            </w:r>
            <w:r w:rsidR="009A3B96" w:rsidRPr="009A3B96">
              <w:rPr>
                <w:rFonts w:ascii="Times New Roman" w:hAnsi="Times New Roman" w:cs="Times New Roman"/>
                <w:highlight w:val="yellow"/>
              </w:rPr>
              <w:t>45</w:t>
            </w:r>
            <w:r w:rsidR="00057C8D" w:rsidRPr="009A3B96">
              <w:rPr>
                <w:rFonts w:ascii="Times New Roman" w:hAnsi="Times New Roman" w:cs="Times New Roman"/>
                <w:highlight w:val="yellow"/>
              </w:rPr>
              <w:t xml:space="preserve"> год.</w:t>
            </w:r>
          </w:p>
          <w:p w:rsidR="00275885" w:rsidRPr="00547D6C" w:rsidRDefault="00275885" w:rsidP="00BF0953">
            <w:pPr>
              <w:ind w:firstLine="4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pStyle w:val="rvps14"/>
              <w:spacing w:before="0" w:beforeAutospacing="0" w:after="0" w:afterAutospacing="0"/>
              <w:ind w:left="57"/>
              <w:rPr>
                <w:spacing w:val="-2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Додаткові (необов'язкові) </w:t>
            </w: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документи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</w:rPr>
            </w:pPr>
            <w:r w:rsidRPr="00547D6C">
              <w:rPr>
                <w:rStyle w:val="rvts0"/>
              </w:rPr>
              <w:t xml:space="preserve">Особа з інвалідністю, яка бажає взяти участь у конкурсі та за наявності підстав потребує розумного пристосування, подає заяву за формою згідно з </w:t>
            </w:r>
            <w:hyperlink r:id="rId9" w:anchor="n201" w:history="1">
              <w:r w:rsidRPr="00547D6C">
                <w:rPr>
                  <w:rStyle w:val="rvts0"/>
                </w:rPr>
                <w:t>додатком 3</w:t>
              </w:r>
            </w:hyperlink>
            <w:r w:rsidRPr="00547D6C">
              <w:rPr>
                <w:rStyle w:val="rvts0"/>
              </w:rPr>
              <w:t xml:space="preserve"> Порядку.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t>Дата і час початку проведення тестування кандидатів.</w:t>
            </w: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Місце або спосіб проведення тестування.</w:t>
            </w: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47D6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Місце або спосіб проведення співбесіди </w:t>
            </w:r>
          </w:p>
          <w:p w:rsidR="00057C8D" w:rsidRPr="00547D6C" w:rsidRDefault="00057C8D" w:rsidP="00057C8D">
            <w:pPr>
              <w:pStyle w:val="rvps14"/>
              <w:spacing w:beforeAutospacing="0" w:afterAutospacing="0"/>
              <w:ind w:left="142" w:right="126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275885" w:rsidRPr="00547D6C" w:rsidRDefault="00057C8D" w:rsidP="00057C8D">
            <w:pPr>
              <w:ind w:left="25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</w:t>
            </w:r>
          </w:p>
        </w:tc>
        <w:tc>
          <w:tcPr>
            <w:tcW w:w="7221" w:type="dxa"/>
          </w:tcPr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9A3B96" w:rsidP="00057C8D">
            <w:pPr>
              <w:jc w:val="both"/>
              <w:rPr>
                <w:rFonts w:ascii="Times New Roman" w:hAnsi="Times New Roman" w:cs="Times New Roman"/>
              </w:rPr>
            </w:pPr>
            <w:r w:rsidRPr="009A3B96">
              <w:rPr>
                <w:rFonts w:ascii="Times New Roman" w:hAnsi="Times New Roman" w:cs="Times New Roman"/>
                <w:highlight w:val="yellow"/>
              </w:rPr>
              <w:t xml:space="preserve">06 </w:t>
            </w:r>
            <w:r w:rsidR="00057C8D" w:rsidRPr="009A3B9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9A3B96">
              <w:rPr>
                <w:rFonts w:ascii="Times New Roman" w:hAnsi="Times New Roman" w:cs="Times New Roman"/>
                <w:highlight w:val="yellow"/>
              </w:rPr>
              <w:t>жовтня</w:t>
            </w:r>
            <w:r w:rsidR="00057C8D" w:rsidRPr="009A3B96">
              <w:rPr>
                <w:rFonts w:ascii="Times New Roman" w:hAnsi="Times New Roman" w:cs="Times New Roman"/>
                <w:highlight w:val="yellow"/>
              </w:rPr>
              <w:t xml:space="preserve"> 2021 року, початок о 10</w:t>
            </w:r>
            <w:r w:rsidR="00397124">
              <w:rPr>
                <w:rFonts w:ascii="Times New Roman" w:hAnsi="Times New Roman" w:cs="Times New Roman"/>
                <w:highlight w:val="yellow"/>
              </w:rPr>
              <w:t>.00</w:t>
            </w:r>
            <w:r w:rsidR="00057C8D" w:rsidRPr="009A3B96">
              <w:rPr>
                <w:rFonts w:ascii="Times New Roman" w:hAnsi="Times New Roman" w:cs="Times New Roman"/>
                <w:highlight w:val="yellow"/>
              </w:rPr>
              <w:t xml:space="preserve"> год</w:t>
            </w:r>
            <w:r w:rsidR="00057C8D" w:rsidRPr="00547D6C">
              <w:rPr>
                <w:rFonts w:ascii="Times New Roman" w:hAnsi="Times New Roman" w:cs="Times New Roman"/>
              </w:rPr>
              <w:t>.</w:t>
            </w: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lastRenderedPageBreak/>
              <w:t xml:space="preserve">Проведення тестування за фізичної присутності кандидата, за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47D6C">
              <w:rPr>
                <w:rFonts w:ascii="Times New Roman" w:hAnsi="Times New Roman" w:cs="Times New Roman"/>
              </w:rPr>
              <w:t xml:space="preserve">: 43000,  Волинська область, м. Луцьк, вулиця Сенаторки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Левчанівської</w:t>
            </w:r>
            <w:proofErr w:type="spellEnd"/>
            <w:r w:rsidRPr="00547D6C">
              <w:rPr>
                <w:rFonts w:ascii="Times New Roman" w:hAnsi="Times New Roman" w:cs="Times New Roman"/>
              </w:rPr>
              <w:t>, 1</w:t>
            </w: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за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47D6C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Левчанівської,1</w:t>
            </w: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057C8D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</w:p>
          <w:p w:rsidR="00275885" w:rsidRPr="00547D6C" w:rsidRDefault="00057C8D" w:rsidP="00057C8D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Проведення співбесіди за фізичної присутності кандидата, за </w:t>
            </w:r>
            <w:proofErr w:type="spellStart"/>
            <w:r w:rsidRPr="00547D6C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547D6C">
              <w:rPr>
                <w:rFonts w:ascii="Times New Roman" w:hAnsi="Times New Roman" w:cs="Times New Roman"/>
              </w:rPr>
              <w:t>: 43000,  Волинська область, м. Луцьк, вулиця Сенаторки Левчанівської,1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21" w:type="dxa"/>
          </w:tcPr>
          <w:p w:rsidR="00275885" w:rsidRPr="00B64DC6" w:rsidRDefault="00786232" w:rsidP="00BF09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4DC6">
              <w:rPr>
                <w:rFonts w:ascii="Times New Roman" w:hAnsi="Times New Roman" w:cs="Times New Roman"/>
              </w:rPr>
              <w:t>Трофимчук</w:t>
            </w:r>
            <w:proofErr w:type="spellEnd"/>
            <w:r w:rsidRPr="00B64DC6">
              <w:rPr>
                <w:rFonts w:ascii="Times New Roman" w:hAnsi="Times New Roman" w:cs="Times New Roman"/>
              </w:rPr>
              <w:t xml:space="preserve"> Юрій Ігорович</w:t>
            </w:r>
          </w:p>
          <w:p w:rsidR="00275885" w:rsidRPr="00547D6C" w:rsidRDefault="00786232" w:rsidP="00BF0953">
            <w:pPr>
              <w:rPr>
                <w:rFonts w:ascii="Times New Roman" w:hAnsi="Times New Roman" w:cs="Times New Roman"/>
              </w:rPr>
            </w:pPr>
            <w:proofErr w:type="spellStart"/>
            <w:r w:rsidRPr="00B64DC6">
              <w:rPr>
                <w:rFonts w:ascii="Times New Roman" w:hAnsi="Times New Roman" w:cs="Times New Roman"/>
              </w:rPr>
              <w:t>тел</w:t>
            </w:r>
            <w:proofErr w:type="spellEnd"/>
            <w:r w:rsidRPr="00B64DC6">
              <w:rPr>
                <w:rFonts w:ascii="Times New Roman" w:hAnsi="Times New Roman" w:cs="Times New Roman"/>
              </w:rPr>
              <w:t>. (0332) 773 315</w:t>
            </w:r>
          </w:p>
          <w:p w:rsidR="00275885" w:rsidRPr="00547D6C" w:rsidRDefault="00275885" w:rsidP="00786232">
            <w:pPr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 xml:space="preserve">         e-</w:t>
            </w:r>
            <w:proofErr w:type="spellStart"/>
            <w:r w:rsidRPr="00547D6C">
              <w:rPr>
                <w:rFonts w:ascii="Times New Roman" w:hAnsi="Times New Roman" w:cs="Times New Roman"/>
              </w:rPr>
              <w:t>mail</w:t>
            </w:r>
            <w:proofErr w:type="spellEnd"/>
            <w:r w:rsidRPr="00547D6C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547D6C">
                <w:rPr>
                  <w:rStyle w:val="a4"/>
                  <w:rFonts w:ascii="Times New Roman" w:hAnsi="Times New Roman" w:cs="Times New Roman"/>
                  <w:color w:val="auto"/>
                </w:rPr>
                <w:t>inbox@vl.court.gov.ua</w:t>
              </w:r>
            </w:hyperlink>
          </w:p>
        </w:tc>
      </w:tr>
      <w:tr w:rsidR="00275885" w:rsidRPr="00547D6C" w:rsidTr="00BF0953">
        <w:tc>
          <w:tcPr>
            <w:tcW w:w="10140" w:type="dxa"/>
            <w:gridSpan w:val="4"/>
          </w:tcPr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7D6C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Освіта</w:t>
            </w:r>
          </w:p>
        </w:tc>
        <w:tc>
          <w:tcPr>
            <w:tcW w:w="7221" w:type="dxa"/>
          </w:tcPr>
          <w:p w:rsidR="00275885" w:rsidRPr="00547D6C" w:rsidRDefault="001904D2" w:rsidP="00BF0953">
            <w:pPr>
              <w:pStyle w:val="a8"/>
              <w:jc w:val="both"/>
              <w:rPr>
                <w:sz w:val="22"/>
                <w:szCs w:val="22"/>
              </w:rPr>
            </w:pPr>
            <w:r w:rsidRPr="004306AF">
              <w:t>Вища освіта у галузі знань «Право», «Управління та адміністрування» та «Публічне управління та адміністрування» з освітнім ступенем не нижче бакалавра, молодшого бакалавра.</w:t>
            </w: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Досвід роботи</w:t>
            </w:r>
          </w:p>
        </w:tc>
        <w:tc>
          <w:tcPr>
            <w:tcW w:w="7221" w:type="dxa"/>
          </w:tcPr>
          <w:p w:rsidR="00275885" w:rsidRPr="00547D6C" w:rsidRDefault="00B75009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Не вимагається</w:t>
            </w:r>
          </w:p>
        </w:tc>
      </w:tr>
      <w:tr w:rsidR="00275885" w:rsidRPr="00547D6C" w:rsidTr="003C5B89">
        <w:trPr>
          <w:gridAfter w:val="1"/>
          <w:wAfter w:w="10" w:type="dxa"/>
          <w:trHeight w:val="604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Володіння державною мовою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275885" w:rsidRPr="00547D6C" w:rsidTr="003C5B89">
        <w:trPr>
          <w:gridAfter w:val="1"/>
          <w:wAfter w:w="10" w:type="dxa"/>
          <w:trHeight w:val="728"/>
        </w:trPr>
        <w:tc>
          <w:tcPr>
            <w:tcW w:w="522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7" w:type="dxa"/>
          </w:tcPr>
          <w:p w:rsidR="00275885" w:rsidRPr="00547D6C" w:rsidRDefault="00275885" w:rsidP="00BF0953">
            <w:pPr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Вільне володіння іноземною мовою</w:t>
            </w:r>
          </w:p>
        </w:tc>
        <w:tc>
          <w:tcPr>
            <w:tcW w:w="7221" w:type="dxa"/>
          </w:tcPr>
          <w:p w:rsidR="00275885" w:rsidRPr="00547D6C" w:rsidRDefault="00275885" w:rsidP="00BF0953">
            <w:pPr>
              <w:jc w:val="both"/>
              <w:rPr>
                <w:rFonts w:ascii="Times New Roman" w:hAnsi="Times New Roman" w:cs="Times New Roman"/>
              </w:rPr>
            </w:pPr>
            <w:r w:rsidRPr="00547D6C">
              <w:rPr>
                <w:rFonts w:ascii="Times New Roman" w:hAnsi="Times New Roman" w:cs="Times New Roman"/>
              </w:rPr>
              <w:t>Не вимагається.</w:t>
            </w:r>
          </w:p>
        </w:tc>
      </w:tr>
      <w:tr w:rsidR="00275885" w:rsidRPr="00547D6C" w:rsidTr="00BF0953">
        <w:tc>
          <w:tcPr>
            <w:tcW w:w="10140" w:type="dxa"/>
            <w:gridSpan w:val="4"/>
          </w:tcPr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:rsidR="00275885" w:rsidRPr="00547D6C" w:rsidRDefault="00275885" w:rsidP="00BF09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885" w:rsidRPr="00547D6C" w:rsidTr="00BF0953">
        <w:trPr>
          <w:gridAfter w:val="1"/>
          <w:wAfter w:w="10" w:type="dxa"/>
        </w:trPr>
        <w:tc>
          <w:tcPr>
            <w:tcW w:w="2909" w:type="dxa"/>
            <w:gridSpan w:val="2"/>
          </w:tcPr>
          <w:p w:rsidR="00275885" w:rsidRPr="00882E70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7221" w:type="dxa"/>
          </w:tcPr>
          <w:p w:rsidR="00275885" w:rsidRPr="00882E70" w:rsidRDefault="00275885" w:rsidP="00BF0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1904D2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1904D2" w:rsidRPr="00547D6C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1904D2" w:rsidRPr="004306AF" w:rsidRDefault="001904D2" w:rsidP="001904D2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4306AF">
              <w:rPr>
                <w:lang w:val="uk-UA"/>
              </w:rPr>
              <w:t>Аналітичні здібності</w:t>
            </w:r>
          </w:p>
        </w:tc>
        <w:tc>
          <w:tcPr>
            <w:tcW w:w="7221" w:type="dxa"/>
          </w:tcPr>
          <w:p w:rsidR="001904D2" w:rsidRPr="004306AF" w:rsidRDefault="001904D2" w:rsidP="001904D2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6A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1904D2" w:rsidRPr="004306AF" w:rsidRDefault="001904D2" w:rsidP="001904D2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6AF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1904D2" w:rsidRPr="004306AF" w:rsidRDefault="001904D2" w:rsidP="001904D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6AF"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1904D2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1904D2" w:rsidRPr="00547D6C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1904D2" w:rsidRPr="001904D2" w:rsidRDefault="001904D2" w:rsidP="001904D2">
            <w:pPr>
              <w:pStyle w:val="ab"/>
              <w:spacing w:before="0" w:beforeAutospacing="0" w:after="0" w:afterAutospacing="0"/>
              <w:ind w:left="57" w:right="57"/>
              <w:rPr>
                <w:lang w:val="uk-UA"/>
              </w:rPr>
            </w:pPr>
            <w:r w:rsidRPr="001904D2">
              <w:rPr>
                <w:lang w:val="uk-UA"/>
              </w:rPr>
              <w:t>Комунікація та взаємодія</w:t>
            </w:r>
          </w:p>
        </w:tc>
        <w:tc>
          <w:tcPr>
            <w:tcW w:w="7221" w:type="dxa"/>
          </w:tcPr>
          <w:p w:rsidR="001904D2" w:rsidRPr="001904D2" w:rsidRDefault="001904D2" w:rsidP="001904D2">
            <w:pPr>
              <w:pStyle w:val="ab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1904D2">
              <w:rPr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1904D2" w:rsidRPr="001904D2" w:rsidRDefault="001904D2" w:rsidP="001904D2">
            <w:pPr>
              <w:pStyle w:val="ab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1904D2">
              <w:rPr>
                <w:lang w:val="uk-UA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1904D2" w:rsidRPr="001904D2" w:rsidRDefault="001904D2" w:rsidP="001904D2">
            <w:pPr>
              <w:pStyle w:val="ab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1904D2">
              <w:rPr>
                <w:lang w:val="uk-UA"/>
              </w:rPr>
              <w:t xml:space="preserve"> вміння публічно виступати перед аудиторією;</w:t>
            </w:r>
          </w:p>
          <w:p w:rsidR="001904D2" w:rsidRPr="001904D2" w:rsidRDefault="001904D2" w:rsidP="001904D2">
            <w:pPr>
              <w:pStyle w:val="ab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1904D2">
              <w:rPr>
                <w:lang w:val="uk-UA"/>
              </w:rPr>
              <w:t xml:space="preserve"> здатність переконувати інших за допомогою аргументів та послідовної комунікації</w:t>
            </w:r>
          </w:p>
        </w:tc>
      </w:tr>
      <w:tr w:rsidR="001904D2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1904D2" w:rsidRPr="00547D6C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87" w:type="dxa"/>
          </w:tcPr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7221" w:type="dxa"/>
          </w:tcPr>
          <w:p w:rsidR="001904D2" w:rsidRPr="004306AF" w:rsidRDefault="001904D2" w:rsidP="001904D2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 w:rsidRPr="004306AF">
              <w:rPr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1904D2" w:rsidRPr="004306AF" w:rsidRDefault="001904D2" w:rsidP="001904D2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 w:rsidRPr="004306AF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904D2" w:rsidRPr="00F36F77" w:rsidRDefault="001904D2" w:rsidP="001904D2">
            <w:pPr>
              <w:pStyle w:val="ab"/>
              <w:numPr>
                <w:ilvl w:val="0"/>
                <w:numId w:val="7"/>
              </w:numPr>
              <w:spacing w:before="0" w:beforeAutospacing="0" w:after="0" w:afterAutospacing="0"/>
              <w:ind w:left="431" w:hanging="357"/>
            </w:pPr>
            <w:r w:rsidRPr="004306AF">
              <w:rPr>
                <w:lang w:val="uk-UA"/>
              </w:rPr>
              <w:t>здатність брати на себе зобов’язання, чітко їх дотримуватись і виконувати</w:t>
            </w:r>
          </w:p>
          <w:p w:rsidR="00F36F77" w:rsidRPr="004306AF" w:rsidRDefault="00F36F77" w:rsidP="00F36F77">
            <w:pPr>
              <w:pStyle w:val="ab"/>
              <w:spacing w:before="0" w:beforeAutospacing="0" w:after="0" w:afterAutospacing="0"/>
              <w:ind w:left="74"/>
            </w:pPr>
          </w:p>
        </w:tc>
      </w:tr>
      <w:tr w:rsidR="0093483C" w:rsidRPr="00547D6C" w:rsidTr="00BF0953">
        <w:trPr>
          <w:gridAfter w:val="1"/>
          <w:wAfter w:w="10" w:type="dxa"/>
        </w:trPr>
        <w:tc>
          <w:tcPr>
            <w:tcW w:w="10130" w:type="dxa"/>
            <w:gridSpan w:val="3"/>
          </w:tcPr>
          <w:p w:rsidR="0093483C" w:rsidRPr="001904D2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83C" w:rsidRPr="00547D6C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:rsidR="0093483C" w:rsidRPr="00547D6C" w:rsidRDefault="0093483C" w:rsidP="009348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E70" w:rsidRPr="00547D6C" w:rsidTr="000D4225">
        <w:trPr>
          <w:gridAfter w:val="1"/>
          <w:wAfter w:w="10" w:type="dxa"/>
        </w:trPr>
        <w:tc>
          <w:tcPr>
            <w:tcW w:w="2909" w:type="dxa"/>
            <w:gridSpan w:val="2"/>
          </w:tcPr>
          <w:p w:rsidR="00882E70" w:rsidRPr="00882E70" w:rsidRDefault="00882E70" w:rsidP="000D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7221" w:type="dxa"/>
          </w:tcPr>
          <w:p w:rsidR="00882E70" w:rsidRPr="00882E70" w:rsidRDefault="00882E70" w:rsidP="000D4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E70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1904D2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1904D2" w:rsidRPr="00547D6C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7" w:type="dxa"/>
          </w:tcPr>
          <w:p w:rsidR="001904D2" w:rsidRPr="001904D2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4D2">
              <w:rPr>
                <w:rFonts w:ascii="Times New Roman" w:hAnsi="Times New Roman" w:cs="Times New Roman"/>
                <w:b/>
              </w:rPr>
              <w:t>Знання законодавства</w:t>
            </w:r>
          </w:p>
        </w:tc>
        <w:tc>
          <w:tcPr>
            <w:tcW w:w="7221" w:type="dxa"/>
          </w:tcPr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України;</w:t>
            </w:r>
          </w:p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 xml:space="preserve">2) Закон України «Про державну службу»; </w:t>
            </w:r>
          </w:p>
          <w:p w:rsidR="001904D2" w:rsidRPr="004306AF" w:rsidRDefault="001904D2" w:rsidP="0019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1904D2" w:rsidRPr="00547D6C" w:rsidTr="00BF0953">
        <w:trPr>
          <w:gridAfter w:val="1"/>
          <w:wAfter w:w="10" w:type="dxa"/>
        </w:trPr>
        <w:tc>
          <w:tcPr>
            <w:tcW w:w="522" w:type="dxa"/>
          </w:tcPr>
          <w:p w:rsidR="001904D2" w:rsidRPr="00547D6C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7D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87" w:type="dxa"/>
          </w:tcPr>
          <w:p w:rsidR="001904D2" w:rsidRPr="001904D2" w:rsidRDefault="001904D2" w:rsidP="00190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4D2">
              <w:rPr>
                <w:rFonts w:ascii="Times New Roman" w:hAnsi="Times New Roman" w:cs="Times New Roman"/>
                <w:b/>
              </w:rPr>
              <w:t>Знання спеціального законодавства</w:t>
            </w:r>
          </w:p>
        </w:tc>
        <w:tc>
          <w:tcPr>
            <w:tcW w:w="7221" w:type="dxa"/>
          </w:tcPr>
          <w:p w:rsidR="00397124" w:rsidRPr="004306AF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1) Закон України «Про судоустрій і статус суддів»;</w:t>
            </w:r>
          </w:p>
          <w:p w:rsidR="00397124" w:rsidRPr="004306AF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306A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Інструкція з діловодства в місцевих та апеляційних судах України, </w:t>
            </w: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затверджена наказом Державної судової адміністрації України  від 20.08.2019№ 814 (із змінами);</w:t>
            </w:r>
          </w:p>
          <w:p w:rsidR="00397124" w:rsidRPr="004306AF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306AF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Інструкція, 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суду, затверджена наказом </w:t>
            </w: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судової адміністрації України  від </w:t>
            </w:r>
            <w:r w:rsidRPr="004306AF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15.12.2011  № 168 (із змінами);</w:t>
            </w:r>
          </w:p>
          <w:p w:rsidR="00397124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4) Положення про автоматизовану систему документообігу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(із змінами)</w:t>
            </w:r>
            <w:r w:rsidRPr="00430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124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Наказ Державної судової адміністрації України від 21.12.2012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 «</w:t>
            </w:r>
            <w:r w:rsidRPr="0087497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форми звітності №</w:t>
            </w:r>
            <w:r w:rsidRPr="0087497D">
              <w:rPr>
                <w:rFonts w:ascii="Times New Roman" w:hAnsi="Times New Roman" w:cs="Times New Roman"/>
                <w:sz w:val="24"/>
                <w:szCs w:val="24"/>
              </w:rPr>
              <w:t>10 "Звіт про справляння, звільнення від сплати та повернення судового збору в місцевих та апеляційних судах"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97124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Наказ Державної судової адміністрації України від 09.03.2017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 «</w:t>
            </w:r>
            <w:r w:rsidRPr="0087497D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 звітів щодо здійснення правосуддя місцевими та апеляційними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97124" w:rsidRDefault="00397124" w:rsidP="00397124">
            <w:pPr>
              <w:tabs>
                <w:tab w:val="left" w:pos="18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Наказ Державної судової адміністрації Украї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від 23.06.2018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 «</w:t>
            </w:r>
            <w:r w:rsidRPr="0087497D">
              <w:rPr>
                <w:rFonts w:ascii="Times New Roman" w:hAnsi="Times New Roman" w:cs="Times New Roman"/>
                <w:sz w:val="24"/>
                <w:szCs w:val="24"/>
              </w:rPr>
              <w:t>Про затвердження річних форм звітів щодо здійснення правосуддя місцевими та апеляційними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97124" w:rsidRPr="009677D7" w:rsidRDefault="00397124" w:rsidP="001904D2">
            <w:pPr>
              <w:tabs>
                <w:tab w:val="left" w:pos="184"/>
              </w:tabs>
              <w:ind w:right="1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Наказ Державної судової адміністрації 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від 28.11.2019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1149 «Про затвердження </w:t>
            </w:r>
            <w:r w:rsidRPr="0087497D">
              <w:rPr>
                <w:rFonts w:ascii="Times New Roman" w:hAnsi="Times New Roman" w:cs="Times New Roman"/>
                <w:sz w:val="24"/>
                <w:szCs w:val="24"/>
              </w:rPr>
              <w:t>форми звітності № 1-лт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B3E5B" w:rsidRDefault="008B3E5B" w:rsidP="007D0B54">
      <w:pPr>
        <w:jc w:val="both"/>
        <w:rPr>
          <w:rFonts w:ascii="Times New Roman" w:hAnsi="Times New Roman" w:cs="Times New Roman"/>
          <w:sz w:val="12"/>
        </w:rPr>
      </w:pPr>
    </w:p>
    <w:sectPr w:rsidR="008B3E5B" w:rsidSect="00B75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EE04BBB"/>
    <w:multiLevelType w:val="hybridMultilevel"/>
    <w:tmpl w:val="1E5E4184"/>
    <w:lvl w:ilvl="0" w:tplc="0422000F">
      <w:start w:val="1"/>
      <w:numFmt w:val="decimal"/>
      <w:lvlText w:val="%1."/>
      <w:lvlJc w:val="left"/>
      <w:pPr>
        <w:ind w:left="73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025" w:hanging="360"/>
      </w:pPr>
    </w:lvl>
    <w:lvl w:ilvl="2" w:tplc="0422001B" w:tentative="1">
      <w:start w:val="1"/>
      <w:numFmt w:val="lowerRoman"/>
      <w:lvlText w:val="%3."/>
      <w:lvlJc w:val="right"/>
      <w:pPr>
        <w:ind w:left="8745" w:hanging="180"/>
      </w:pPr>
    </w:lvl>
    <w:lvl w:ilvl="3" w:tplc="0422000F" w:tentative="1">
      <w:start w:val="1"/>
      <w:numFmt w:val="decimal"/>
      <w:lvlText w:val="%4."/>
      <w:lvlJc w:val="left"/>
      <w:pPr>
        <w:ind w:left="9465" w:hanging="360"/>
      </w:pPr>
    </w:lvl>
    <w:lvl w:ilvl="4" w:tplc="04220019" w:tentative="1">
      <w:start w:val="1"/>
      <w:numFmt w:val="lowerLetter"/>
      <w:lvlText w:val="%5."/>
      <w:lvlJc w:val="left"/>
      <w:pPr>
        <w:ind w:left="10185" w:hanging="360"/>
      </w:pPr>
    </w:lvl>
    <w:lvl w:ilvl="5" w:tplc="0422001B" w:tentative="1">
      <w:start w:val="1"/>
      <w:numFmt w:val="lowerRoman"/>
      <w:lvlText w:val="%6."/>
      <w:lvlJc w:val="right"/>
      <w:pPr>
        <w:ind w:left="10905" w:hanging="180"/>
      </w:pPr>
    </w:lvl>
    <w:lvl w:ilvl="6" w:tplc="0422000F" w:tentative="1">
      <w:start w:val="1"/>
      <w:numFmt w:val="decimal"/>
      <w:lvlText w:val="%7."/>
      <w:lvlJc w:val="left"/>
      <w:pPr>
        <w:ind w:left="11625" w:hanging="360"/>
      </w:pPr>
    </w:lvl>
    <w:lvl w:ilvl="7" w:tplc="04220019" w:tentative="1">
      <w:start w:val="1"/>
      <w:numFmt w:val="lowerLetter"/>
      <w:lvlText w:val="%8."/>
      <w:lvlJc w:val="left"/>
      <w:pPr>
        <w:ind w:left="12345" w:hanging="360"/>
      </w:pPr>
    </w:lvl>
    <w:lvl w:ilvl="8" w:tplc="0422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3" w15:restartNumberingAfterBreak="0">
    <w:nsid w:val="11E40CFB"/>
    <w:multiLevelType w:val="hybridMultilevel"/>
    <w:tmpl w:val="6E3C822A"/>
    <w:lvl w:ilvl="0" w:tplc="0480E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CD6"/>
    <w:multiLevelType w:val="hybridMultilevel"/>
    <w:tmpl w:val="4E186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EFB"/>
    <w:multiLevelType w:val="hybridMultilevel"/>
    <w:tmpl w:val="38323566"/>
    <w:lvl w:ilvl="0" w:tplc="E43A20E4">
      <w:start w:val="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25520"/>
    <w:rsid w:val="00057C8D"/>
    <w:rsid w:val="000712F7"/>
    <w:rsid w:val="0007428E"/>
    <w:rsid w:val="000B00FF"/>
    <w:rsid w:val="000B678D"/>
    <w:rsid w:val="000C196D"/>
    <w:rsid w:val="000E1C81"/>
    <w:rsid w:val="000E4577"/>
    <w:rsid w:val="000F09BC"/>
    <w:rsid w:val="00127F0B"/>
    <w:rsid w:val="001904D2"/>
    <w:rsid w:val="001952A1"/>
    <w:rsid w:val="001B1FB4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75885"/>
    <w:rsid w:val="002A4A5B"/>
    <w:rsid w:val="002B2F6D"/>
    <w:rsid w:val="002C5733"/>
    <w:rsid w:val="002C749A"/>
    <w:rsid w:val="00300DE0"/>
    <w:rsid w:val="00312702"/>
    <w:rsid w:val="00330392"/>
    <w:rsid w:val="0037463A"/>
    <w:rsid w:val="0039585A"/>
    <w:rsid w:val="00397124"/>
    <w:rsid w:val="003A507E"/>
    <w:rsid w:val="003C4256"/>
    <w:rsid w:val="003C5B89"/>
    <w:rsid w:val="003F237A"/>
    <w:rsid w:val="0040205F"/>
    <w:rsid w:val="00454FD8"/>
    <w:rsid w:val="004632C1"/>
    <w:rsid w:val="00475DDB"/>
    <w:rsid w:val="00491609"/>
    <w:rsid w:val="00496163"/>
    <w:rsid w:val="0049673F"/>
    <w:rsid w:val="004A5F07"/>
    <w:rsid w:val="004A6DB3"/>
    <w:rsid w:val="004B2FDA"/>
    <w:rsid w:val="004C1BE0"/>
    <w:rsid w:val="004E4503"/>
    <w:rsid w:val="004F7101"/>
    <w:rsid w:val="004F771E"/>
    <w:rsid w:val="00501773"/>
    <w:rsid w:val="00507049"/>
    <w:rsid w:val="00526671"/>
    <w:rsid w:val="00541D10"/>
    <w:rsid w:val="00543731"/>
    <w:rsid w:val="005469C6"/>
    <w:rsid w:val="00547D6C"/>
    <w:rsid w:val="00564796"/>
    <w:rsid w:val="0056565E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C2EA6"/>
    <w:rsid w:val="006D0519"/>
    <w:rsid w:val="006E460A"/>
    <w:rsid w:val="00700B47"/>
    <w:rsid w:val="007320E2"/>
    <w:rsid w:val="00742ACE"/>
    <w:rsid w:val="00743B94"/>
    <w:rsid w:val="00754150"/>
    <w:rsid w:val="00756887"/>
    <w:rsid w:val="0076660C"/>
    <w:rsid w:val="00775AEB"/>
    <w:rsid w:val="00786232"/>
    <w:rsid w:val="007906D0"/>
    <w:rsid w:val="007A4664"/>
    <w:rsid w:val="007B01E7"/>
    <w:rsid w:val="007D0B54"/>
    <w:rsid w:val="007E12B0"/>
    <w:rsid w:val="007E31C7"/>
    <w:rsid w:val="007F4E44"/>
    <w:rsid w:val="00810CE7"/>
    <w:rsid w:val="00812B0F"/>
    <w:rsid w:val="00831C23"/>
    <w:rsid w:val="008658C8"/>
    <w:rsid w:val="00882A0D"/>
    <w:rsid w:val="00882E70"/>
    <w:rsid w:val="008845C1"/>
    <w:rsid w:val="0088657B"/>
    <w:rsid w:val="00891234"/>
    <w:rsid w:val="0089181F"/>
    <w:rsid w:val="00892A99"/>
    <w:rsid w:val="008A6792"/>
    <w:rsid w:val="008B0590"/>
    <w:rsid w:val="008B1330"/>
    <w:rsid w:val="008B3E5B"/>
    <w:rsid w:val="008C01FF"/>
    <w:rsid w:val="008C7DF4"/>
    <w:rsid w:val="008F1007"/>
    <w:rsid w:val="008F66C7"/>
    <w:rsid w:val="009041EA"/>
    <w:rsid w:val="00906EAE"/>
    <w:rsid w:val="00926E71"/>
    <w:rsid w:val="00931B35"/>
    <w:rsid w:val="0093483C"/>
    <w:rsid w:val="0094140A"/>
    <w:rsid w:val="00952AA7"/>
    <w:rsid w:val="009677D7"/>
    <w:rsid w:val="00977176"/>
    <w:rsid w:val="0099653D"/>
    <w:rsid w:val="00997343"/>
    <w:rsid w:val="009A3B96"/>
    <w:rsid w:val="009C1586"/>
    <w:rsid w:val="009E31E8"/>
    <w:rsid w:val="00A26967"/>
    <w:rsid w:val="00A54F31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64DC6"/>
    <w:rsid w:val="00B75009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5DDB"/>
    <w:rsid w:val="00C97F8C"/>
    <w:rsid w:val="00CA6F43"/>
    <w:rsid w:val="00CB4C76"/>
    <w:rsid w:val="00CD5D5D"/>
    <w:rsid w:val="00CF0B71"/>
    <w:rsid w:val="00D01A51"/>
    <w:rsid w:val="00D03E0B"/>
    <w:rsid w:val="00D05B21"/>
    <w:rsid w:val="00D27CA7"/>
    <w:rsid w:val="00D4401C"/>
    <w:rsid w:val="00D72162"/>
    <w:rsid w:val="00D73608"/>
    <w:rsid w:val="00D8538B"/>
    <w:rsid w:val="00D90D46"/>
    <w:rsid w:val="00DA54C4"/>
    <w:rsid w:val="00DB2180"/>
    <w:rsid w:val="00DB5CEC"/>
    <w:rsid w:val="00DC195E"/>
    <w:rsid w:val="00DC6907"/>
    <w:rsid w:val="00DD169F"/>
    <w:rsid w:val="00DD2DA9"/>
    <w:rsid w:val="00DD4874"/>
    <w:rsid w:val="00DE1DEF"/>
    <w:rsid w:val="00DE3040"/>
    <w:rsid w:val="00E07536"/>
    <w:rsid w:val="00E2053C"/>
    <w:rsid w:val="00E20A18"/>
    <w:rsid w:val="00E23FCA"/>
    <w:rsid w:val="00E2537D"/>
    <w:rsid w:val="00E26941"/>
    <w:rsid w:val="00E335E5"/>
    <w:rsid w:val="00E52077"/>
    <w:rsid w:val="00E6778F"/>
    <w:rsid w:val="00E8607F"/>
    <w:rsid w:val="00E907EF"/>
    <w:rsid w:val="00EB595D"/>
    <w:rsid w:val="00ED6F28"/>
    <w:rsid w:val="00EE399A"/>
    <w:rsid w:val="00EF5900"/>
    <w:rsid w:val="00F23623"/>
    <w:rsid w:val="00F2379B"/>
    <w:rsid w:val="00F36F77"/>
    <w:rsid w:val="00F5026C"/>
    <w:rsid w:val="00F52BF7"/>
    <w:rsid w:val="00F633D4"/>
    <w:rsid w:val="00F67689"/>
    <w:rsid w:val="00F80148"/>
    <w:rsid w:val="00FA10DE"/>
    <w:rsid w:val="00FA2ADB"/>
    <w:rsid w:val="00FC3639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765F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8">
    <w:name w:val="Без интервала"/>
    <w:aliases w:val="основной текст"/>
    <w:link w:val="a9"/>
    <w:qFormat/>
    <w:rsid w:val="00E0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ной текст Знак"/>
    <w:basedOn w:val="a0"/>
    <w:link w:val="a8"/>
    <w:rsid w:val="00E07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EF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F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6C2E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b">
    <w:name w:val="Normal (Web)"/>
    <w:basedOn w:val="a"/>
    <w:unhideWhenUsed/>
    <w:rsid w:val="006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3483C"/>
  </w:style>
  <w:style w:type="character" w:customStyle="1" w:styleId="rvts9">
    <w:name w:val="rvts9"/>
    <w:basedOn w:val="a0"/>
    <w:rsid w:val="0093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box@vl.court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109B-5247-483A-9B0A-320525E0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6220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Павло Мартинюк</cp:lastModifiedBy>
  <cp:revision>2</cp:revision>
  <cp:lastPrinted>2021-09-20T11:56:00Z</cp:lastPrinted>
  <dcterms:created xsi:type="dcterms:W3CDTF">2021-09-20T12:15:00Z</dcterms:created>
  <dcterms:modified xsi:type="dcterms:W3CDTF">2021-09-20T12:15:00Z</dcterms:modified>
</cp:coreProperties>
</file>