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E52077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077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0F09B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52077">
        <w:rPr>
          <w:rFonts w:ascii="Times New Roman" w:hAnsi="Times New Roman" w:cs="Times New Roman"/>
          <w:sz w:val="24"/>
          <w:szCs w:val="24"/>
        </w:rPr>
        <w:t>№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1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1A1">
        <w:rPr>
          <w:rFonts w:ascii="Times New Roman" w:hAnsi="Times New Roman" w:cs="Times New Roman"/>
          <w:sz w:val="24"/>
          <w:szCs w:val="24"/>
          <w:u w:val="single"/>
          <w:lang w:val="en-US"/>
        </w:rPr>
        <w:t>65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56887"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E52077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520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3A36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3A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101A1">
        <w:rPr>
          <w:rFonts w:ascii="Times New Roman" w:hAnsi="Times New Roman" w:cs="Times New Roman"/>
          <w:sz w:val="24"/>
          <w:szCs w:val="24"/>
          <w:u w:val="single"/>
          <w:lang w:val="en-US"/>
        </w:rPr>
        <w:t>04</w:t>
      </w:r>
      <w:r w:rsidR="00B57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57DF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2379B" w:rsidRPr="00CA3A36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CA3A36" w:rsidRPr="00CA3A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F09BC" w:rsidRPr="00D03E0B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</w:p>
    <w:p w:rsidR="007906D0" w:rsidRPr="00E52077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E52077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E52077" w:rsidRDefault="000E1C81" w:rsidP="00275885">
      <w:pPr>
        <w:jc w:val="center"/>
        <w:rPr>
          <w:b/>
          <w:sz w:val="24"/>
          <w:szCs w:val="24"/>
        </w:rPr>
      </w:pPr>
      <w:r w:rsidRPr="00E52077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вакантної посади державного службовця категорії «Б» </w:t>
      </w:r>
      <w:r w:rsidR="00CA3A36">
        <w:rPr>
          <w:rFonts w:ascii="Times New Roman" w:hAnsi="Times New Roman" w:cs="Times New Roman"/>
          <w:b/>
          <w:sz w:val="24"/>
          <w:szCs w:val="24"/>
        </w:rPr>
        <w:t>заступника керівника апарату Шацького районного суду</w:t>
      </w:r>
      <w:r w:rsidR="00275885">
        <w:rPr>
          <w:rFonts w:ascii="Times New Roman" w:hAnsi="Times New Roman" w:cs="Times New Roman"/>
          <w:b/>
          <w:sz w:val="24"/>
          <w:szCs w:val="24"/>
        </w:rPr>
        <w:t xml:space="preserve"> Волинськ</w:t>
      </w:r>
      <w:r w:rsidR="00CA3A36">
        <w:rPr>
          <w:rFonts w:ascii="Times New Roman" w:hAnsi="Times New Roman" w:cs="Times New Roman"/>
          <w:b/>
          <w:sz w:val="24"/>
          <w:szCs w:val="24"/>
        </w:rPr>
        <w:t>ої</w:t>
      </w:r>
      <w:r w:rsidR="00275885" w:rsidRPr="00E52077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812B0F" w:rsidTr="00BF0953">
        <w:tc>
          <w:tcPr>
            <w:tcW w:w="10140" w:type="dxa"/>
            <w:gridSpan w:val="4"/>
          </w:tcPr>
          <w:p w:rsidR="00275885" w:rsidRPr="00E07536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CA3A36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CA3A36" w:rsidRPr="00E07536" w:rsidRDefault="00CA3A36" w:rsidP="00CA3A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CA3A36" w:rsidRPr="003B5137" w:rsidRDefault="00CA3A36" w:rsidP="00CA3A36">
            <w:pPr>
              <w:pStyle w:val="ab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 xml:space="preserve">1. </w:t>
            </w:r>
            <w:r w:rsidRPr="003B5137">
              <w:rPr>
                <w:lang w:val="uk-UA"/>
              </w:rPr>
              <w:t>З</w:t>
            </w:r>
            <w:proofErr w:type="spellStart"/>
            <w:r w:rsidRPr="003B5137">
              <w:t>абезпеч</w:t>
            </w:r>
            <w:r>
              <w:rPr>
                <w:lang w:val="uk-UA"/>
              </w:rPr>
              <w:t>ення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виконання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працівниками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апарату</w:t>
            </w:r>
            <w:proofErr w:type="spellEnd"/>
            <w:r w:rsidRPr="003B5137">
              <w:t xml:space="preserve"> Правил </w:t>
            </w:r>
            <w:proofErr w:type="spellStart"/>
            <w:r w:rsidRPr="003B5137">
              <w:t>поведінки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працівника</w:t>
            </w:r>
            <w:proofErr w:type="spellEnd"/>
            <w:r w:rsidRPr="003B5137">
              <w:t xml:space="preserve"> суду, </w:t>
            </w:r>
            <w:proofErr w:type="spellStart"/>
            <w:r w:rsidRPr="003B5137">
              <w:t>Загальних</w:t>
            </w:r>
            <w:proofErr w:type="spellEnd"/>
            <w:r w:rsidRPr="003B5137">
              <w:t xml:space="preserve"> правил </w:t>
            </w:r>
            <w:proofErr w:type="spellStart"/>
            <w:r w:rsidRPr="003B5137">
              <w:t>етичної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поведінки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державних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службовців</w:t>
            </w:r>
            <w:proofErr w:type="spellEnd"/>
            <w:r w:rsidRPr="003B5137">
              <w:t xml:space="preserve">, а </w:t>
            </w:r>
            <w:proofErr w:type="spellStart"/>
            <w:r w:rsidRPr="003B5137">
              <w:t>також</w:t>
            </w:r>
            <w:proofErr w:type="spellEnd"/>
            <w:r w:rsidRPr="003B5137">
              <w:t xml:space="preserve"> </w:t>
            </w:r>
            <w:r w:rsidRPr="003B5137">
              <w:rPr>
                <w:color w:val="000000"/>
                <w:spacing w:val="9"/>
              </w:rPr>
              <w:t xml:space="preserve">правил </w:t>
            </w:r>
            <w:proofErr w:type="spellStart"/>
            <w:r w:rsidRPr="003B5137">
              <w:rPr>
                <w:color w:val="000000"/>
                <w:spacing w:val="9"/>
              </w:rPr>
              <w:t>внутрішнього</w:t>
            </w:r>
            <w:proofErr w:type="spellEnd"/>
            <w:r w:rsidRPr="003B5137">
              <w:rPr>
                <w:color w:val="000000"/>
                <w:spacing w:val="9"/>
              </w:rPr>
              <w:t xml:space="preserve"> </w:t>
            </w:r>
            <w:r w:rsidRPr="003B5137">
              <w:rPr>
                <w:color w:val="000000"/>
                <w:spacing w:val="-1"/>
              </w:rPr>
              <w:t xml:space="preserve">трудового </w:t>
            </w:r>
            <w:proofErr w:type="spellStart"/>
            <w:r w:rsidRPr="003B5137">
              <w:rPr>
                <w:color w:val="000000"/>
                <w:spacing w:val="-1"/>
              </w:rPr>
              <w:t>розпорядку</w:t>
            </w:r>
            <w:proofErr w:type="spellEnd"/>
            <w:r w:rsidRPr="003B5137">
              <w:rPr>
                <w:color w:val="000000"/>
                <w:spacing w:val="-1"/>
              </w:rPr>
              <w:t xml:space="preserve"> та правил </w:t>
            </w:r>
            <w:proofErr w:type="spellStart"/>
            <w:r w:rsidRPr="003B5137">
              <w:rPr>
                <w:color w:val="000000"/>
                <w:spacing w:val="-1"/>
              </w:rPr>
              <w:t>внутрішнього</w:t>
            </w:r>
            <w:proofErr w:type="spellEnd"/>
            <w:r w:rsidRPr="003B5137">
              <w:rPr>
                <w:color w:val="000000"/>
                <w:spacing w:val="-1"/>
              </w:rPr>
              <w:t xml:space="preserve"> </w:t>
            </w:r>
            <w:proofErr w:type="spellStart"/>
            <w:r w:rsidRPr="003B5137">
              <w:rPr>
                <w:color w:val="000000"/>
                <w:spacing w:val="-1"/>
              </w:rPr>
              <w:t>службового</w:t>
            </w:r>
            <w:proofErr w:type="spellEnd"/>
            <w:r w:rsidRPr="003B5137">
              <w:rPr>
                <w:color w:val="000000"/>
                <w:spacing w:val="-1"/>
              </w:rPr>
              <w:t xml:space="preserve"> </w:t>
            </w:r>
            <w:proofErr w:type="spellStart"/>
            <w:r w:rsidRPr="003B5137">
              <w:rPr>
                <w:color w:val="000000"/>
                <w:spacing w:val="-1"/>
              </w:rPr>
              <w:t>розпорядку</w:t>
            </w:r>
            <w:proofErr w:type="spellEnd"/>
            <w:r w:rsidRPr="003B5137">
              <w:t xml:space="preserve">, </w:t>
            </w:r>
            <w:proofErr w:type="spellStart"/>
            <w:r w:rsidRPr="003B5137">
              <w:t>належний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рівень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трудової</w:t>
            </w:r>
            <w:proofErr w:type="spellEnd"/>
            <w:r w:rsidRPr="003B5137">
              <w:t xml:space="preserve"> та </w:t>
            </w:r>
            <w:proofErr w:type="spellStart"/>
            <w:r w:rsidRPr="003B5137">
              <w:t>виконавської</w:t>
            </w:r>
            <w:proofErr w:type="spellEnd"/>
            <w:r w:rsidRPr="003B5137">
              <w:t xml:space="preserve"> </w:t>
            </w:r>
            <w:proofErr w:type="spellStart"/>
            <w:r w:rsidRPr="003B5137">
              <w:t>дисципліни</w:t>
            </w:r>
            <w:proofErr w:type="spellEnd"/>
            <w:r w:rsidRPr="003B5137">
              <w:t xml:space="preserve"> в </w:t>
            </w:r>
            <w:proofErr w:type="spellStart"/>
            <w:r w:rsidRPr="003B5137">
              <w:t>апараті</w:t>
            </w:r>
            <w:proofErr w:type="spellEnd"/>
            <w:r w:rsidRPr="003B5137">
              <w:t xml:space="preserve"> суду</w:t>
            </w:r>
            <w:r w:rsidRPr="003B5137">
              <w:rPr>
                <w:lang w:val="uk-UA"/>
              </w:rPr>
              <w:t>;</w:t>
            </w:r>
          </w:p>
          <w:p w:rsidR="00CA3A36" w:rsidRPr="003B5137" w:rsidRDefault="00CA3A36" w:rsidP="00CA3A36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 w:rsidRPr="003B5137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Pr="003B5137">
              <w:rPr>
                <w:lang w:val="uk-UA"/>
              </w:rPr>
              <w:t xml:space="preserve"> Виконання обов’язків служби управління персоналом, ведення кадрової роботи щодо працівників апарату суду, підготовка проектів наказів, інших актів, що стосуються питань управління персоналом, трудових відносин та державної служби,</w:t>
            </w:r>
            <w:r>
              <w:rPr>
                <w:lang w:val="uk-UA"/>
              </w:rPr>
              <w:t xml:space="preserve"> </w:t>
            </w:r>
            <w:r w:rsidRPr="003B5137">
              <w:rPr>
                <w:lang w:val="uk-UA"/>
              </w:rPr>
              <w:t xml:space="preserve">робота в автоматизованій інформаційно-аналітичній системі «Кадри </w:t>
            </w:r>
            <w:r w:rsidRPr="003B5137">
              <w:rPr>
                <w:lang w:val="en-US"/>
              </w:rPr>
              <w:t>WEB</w:t>
            </w:r>
            <w:r w:rsidRPr="003B5137">
              <w:rPr>
                <w:lang w:val="uk-UA"/>
              </w:rPr>
              <w:t xml:space="preserve">», наповнення та оновлення даними в програмі; </w:t>
            </w:r>
          </w:p>
          <w:p w:rsidR="00CA3A36" w:rsidRPr="003B5137" w:rsidRDefault="00CA3A36" w:rsidP="00CA3A36">
            <w:pPr>
              <w:pStyle w:val="ab"/>
              <w:tabs>
                <w:tab w:val="left" w:pos="210"/>
              </w:tabs>
              <w:spacing w:before="0" w:beforeAutospacing="0" w:after="0" w:afterAutospacing="0"/>
              <w:ind w:left="42"/>
              <w:jc w:val="both"/>
              <w:rPr>
                <w:lang w:val="uk-UA"/>
              </w:rPr>
            </w:pPr>
            <w:r w:rsidRPr="003B5137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Pr="003B5137">
              <w:rPr>
                <w:lang w:val="uk-UA"/>
              </w:rPr>
              <w:t xml:space="preserve">   Підготовка статистичної звітності суду, відповідно до наказу керівника апарату суду, контроль за повнотою внесення інформації в обліково-статистичні картки в КП «Д-3»;</w:t>
            </w:r>
          </w:p>
          <w:p w:rsidR="00CA3A36" w:rsidRPr="003B5137" w:rsidRDefault="00CA3A36" w:rsidP="00CA3A36">
            <w:pPr>
              <w:pStyle w:val="ab"/>
              <w:tabs>
                <w:tab w:val="left" w:pos="210"/>
              </w:tabs>
              <w:spacing w:before="0" w:beforeAutospacing="0" w:after="0" w:afterAutospacing="0"/>
              <w:ind w:left="42"/>
              <w:jc w:val="both"/>
              <w:rPr>
                <w:lang w:val="uk-UA"/>
              </w:rPr>
            </w:pPr>
            <w:r w:rsidRPr="003B5137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  <w:r w:rsidRPr="003B5137">
              <w:rPr>
                <w:lang w:val="uk-UA"/>
              </w:rPr>
              <w:t xml:space="preserve"> Організаційне забезпечення розгляду пропозицій, заяв, скарг та запитів, відповідно до вимог Законів України "Про звернення громадян", "Про адвокатуру та адвокатську діяльність", "Про статус народного депутата </w:t>
            </w:r>
            <w:proofErr w:type="spellStart"/>
            <w:r w:rsidRPr="003B5137">
              <w:rPr>
                <w:lang w:val="uk-UA"/>
              </w:rPr>
              <w:t>України","Про</w:t>
            </w:r>
            <w:proofErr w:type="spellEnd"/>
            <w:r w:rsidRPr="003B5137">
              <w:rPr>
                <w:lang w:val="uk-UA"/>
              </w:rPr>
              <w:t xml:space="preserve"> доступ до публічної інформації", "Про інформацію";</w:t>
            </w:r>
          </w:p>
          <w:p w:rsidR="00CA3A36" w:rsidRPr="003B5137" w:rsidRDefault="00CA3A36" w:rsidP="00CA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Ведення військового обліку, здійснення обліку військовозобов’язаних і призовників та бронювання військовозобов’язаних в суді, контроль за станом військового обліку військовозобов’язаних і призовників, проведення звірок облікових даних з РВК, подання звітності з питань військового обліку; забезпечує підвищення кваліфікації державних службовців апарату суду, працівників патронатної служби, працівників, які виконують функції з обслуговування та веде кадрове діловодство суду.</w:t>
            </w:r>
          </w:p>
          <w:p w:rsidR="00CA3A36" w:rsidRPr="003B5137" w:rsidRDefault="00CA3A36" w:rsidP="00CA3A36">
            <w:pPr>
              <w:pStyle w:val="ab"/>
              <w:tabs>
                <w:tab w:val="left" w:pos="1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3B5137">
              <w:rPr>
                <w:lang w:val="uk-UA"/>
              </w:rPr>
              <w:t>6</w:t>
            </w:r>
            <w:r>
              <w:rPr>
                <w:lang w:val="uk-UA"/>
              </w:rPr>
              <w:t>.</w:t>
            </w:r>
            <w:r w:rsidRPr="003B5137">
              <w:rPr>
                <w:color w:val="000000"/>
                <w:spacing w:val="-1"/>
                <w:lang w:val="uk-UA"/>
              </w:rPr>
              <w:t xml:space="preserve"> Внесення пропозицій керівнику апарату суду з питань удосконалення управління персоналом, подання про присвоєння чергового рангу державного службовця,</w:t>
            </w:r>
            <w:r w:rsidRPr="003B5137">
              <w:rPr>
                <w:color w:val="000000"/>
                <w:spacing w:val="3"/>
                <w:lang w:val="uk-UA"/>
              </w:rPr>
              <w:t xml:space="preserve"> підготовка розрахунків стажу роботи працівників суду, що </w:t>
            </w:r>
            <w:r w:rsidRPr="003B5137">
              <w:rPr>
                <w:color w:val="000000"/>
                <w:spacing w:val="1"/>
                <w:lang w:val="uk-UA"/>
              </w:rPr>
              <w:t>дає право на надбавку за вислугу років</w:t>
            </w:r>
            <w:r w:rsidRPr="003B5137">
              <w:rPr>
                <w:color w:val="000000"/>
                <w:spacing w:val="3"/>
                <w:lang w:val="uk-UA"/>
              </w:rPr>
              <w:t>,</w:t>
            </w:r>
            <w:r w:rsidRPr="003B5137">
              <w:rPr>
                <w:color w:val="000000"/>
                <w:spacing w:val="-1"/>
                <w:lang w:val="uk-UA"/>
              </w:rPr>
              <w:t xml:space="preserve"> здійснення заходів щодо щорічного оцінювання результатів службової діяльності, </w:t>
            </w:r>
            <w:r w:rsidRPr="003B5137">
              <w:rPr>
                <w:bCs/>
                <w:color w:val="000000"/>
                <w:spacing w:val="-7"/>
                <w:lang w:val="uk-UA"/>
              </w:rPr>
              <w:t>о</w:t>
            </w:r>
            <w:r w:rsidRPr="003B5137">
              <w:rPr>
                <w:color w:val="000000"/>
                <w:lang w:val="uk-UA"/>
              </w:rPr>
              <w:t xml:space="preserve">рганізація проведення конкурсів на зайняття вакантних посад державної служби категорії </w:t>
            </w:r>
            <w:r w:rsidRPr="003B5137">
              <w:rPr>
                <w:color w:val="000000"/>
                <w:spacing w:val="1"/>
                <w:lang w:val="uk-UA"/>
              </w:rPr>
              <w:t>"В";</w:t>
            </w:r>
          </w:p>
          <w:p w:rsidR="00CA3A36" w:rsidRPr="003B5137" w:rsidRDefault="00CA3A36" w:rsidP="00CA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Проведення роботи з підготовки оперативних і виробничих нарад,  що проводяться керівником апарату суду, ведення протоколів нарад, підготовка до проведення загальних зборів працівників апарату суду;</w:t>
            </w:r>
          </w:p>
          <w:p w:rsidR="00CA3A36" w:rsidRPr="003B5137" w:rsidRDefault="00CA3A36" w:rsidP="00CA3A36">
            <w:pPr>
              <w:jc w:val="both"/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Вжиття заходів щодо забезпечення своєчасного щорічного </w:t>
            </w:r>
            <w:r w:rsidRPr="003B513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подання суддями і працівниками апарату суду, а також присяжними суду декларацій про доходи, </w:t>
            </w:r>
            <w:r w:rsidRPr="003B5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зобов'язання фінансового характеру та майновий стан державних службовців </w:t>
            </w:r>
            <w:r w:rsidRPr="003B5137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щодо себе та членів своєї сім'ї;</w:t>
            </w:r>
          </w:p>
          <w:p w:rsidR="00CA3A36" w:rsidRDefault="00CA3A36" w:rsidP="00CA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діловодства суду, 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й складання документів відповідно до інструкції з 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діловодства в суді, інших актів законодавства України, надає методичну допомогу працівникам апарату суду;</w:t>
            </w:r>
          </w:p>
          <w:p w:rsidR="00CA3A36" w:rsidRPr="000847FD" w:rsidRDefault="00CA3A36" w:rsidP="00CA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>Забезпеч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та необхідн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5137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працівниками суду правил та норм охорони праці та протипожежного захисту.</w:t>
            </w:r>
          </w:p>
        </w:tc>
      </w:tr>
      <w:tr w:rsidR="00275885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E07536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CA3A36" w:rsidRPr="00CA3A36" w:rsidRDefault="00CA3A36" w:rsidP="00CA3A36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Посадовий оклад – 11 600,00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E07536" w:rsidRDefault="00CA3A36" w:rsidP="00CA3A36">
            <w:pPr>
              <w:pStyle w:val="a5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B57DF9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Pr="00E07536" w:rsidRDefault="00B57DF9" w:rsidP="00B57DF9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Безстрокове</w:t>
            </w:r>
            <w:r w:rsidRPr="00E07536">
              <w:rPr>
                <w:rFonts w:ascii="Times New Roman" w:hAnsi="Times New Roman" w:cs="Times New Roman"/>
              </w:rPr>
              <w:t xml:space="preserve"> призначення.</w:t>
            </w:r>
          </w:p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трок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особи, яка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досягла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65-річного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становить один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рік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правом повторного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призначення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обов’язкового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конкурсу </w:t>
            </w:r>
            <w:proofErr w:type="spellStart"/>
            <w:r w:rsidRPr="00DE2575">
              <w:rPr>
                <w:rFonts w:ascii="Times New Roman" w:eastAsia="Times New Roman" w:hAnsi="Times New Roman" w:cs="Times New Roman"/>
                <w:lang w:val="ru-RU" w:eastAsia="ru-RU"/>
              </w:rPr>
              <w:t>щороку</w:t>
            </w:r>
            <w:proofErr w:type="spellEnd"/>
            <w:r w:rsidRPr="00E07536">
              <w:rPr>
                <w:rFonts w:ascii="Times New Roman" w:hAnsi="Times New Roman" w:cs="Times New Roman"/>
              </w:rPr>
              <w:t>.</w:t>
            </w:r>
          </w:p>
        </w:tc>
      </w:tr>
      <w:tr w:rsidR="00B57DF9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Pr="00E07536" w:rsidRDefault="00B57DF9" w:rsidP="00B57DF9">
            <w:pPr>
              <w:rPr>
                <w:rFonts w:ascii="Times New Roman" w:hAnsi="Times New Roman" w:cs="Times New Roman"/>
                <w:b/>
              </w:rPr>
            </w:pPr>
            <w:r w:rsidRPr="000F09B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B57DF9" w:rsidRDefault="00B57DF9" w:rsidP="00B57DF9">
            <w:pPr>
              <w:pStyle w:val="aa"/>
              <w:jc w:val="both"/>
              <w:rPr>
                <w:rFonts w:ascii="Times New Roman" w:hAnsi="Times New Roman"/>
              </w:rPr>
            </w:pPr>
            <w:r w:rsidRPr="000311C9">
              <w:rPr>
                <w:rFonts w:ascii="Times New Roman" w:eastAsiaTheme="minorHAnsi" w:hAnsi="Times New Roman"/>
              </w:rPr>
              <w:t xml:space="preserve">1)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F09BC">
              <w:rPr>
                <w:rFonts w:ascii="Times New Roman" w:hAnsi="Times New Roman"/>
              </w:rPr>
              <w:t>аява</w:t>
            </w:r>
            <w:proofErr w:type="spellEnd"/>
            <w:r w:rsidRPr="000F09BC">
              <w:rPr>
                <w:rFonts w:ascii="Times New Roman" w:hAnsi="Times New Roman"/>
              </w:rPr>
              <w:t xml:space="preserve"> про участь у </w:t>
            </w:r>
            <w:proofErr w:type="spellStart"/>
            <w:r w:rsidRPr="000F09BC">
              <w:rPr>
                <w:rFonts w:ascii="Times New Roman" w:hAnsi="Times New Roman"/>
              </w:rPr>
              <w:t>конкурсі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із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зазначенням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основних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мотивів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щодо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посади за формою </w:t>
            </w:r>
            <w:proofErr w:type="spellStart"/>
            <w:r w:rsidRPr="000F09BC">
              <w:rPr>
                <w:rFonts w:ascii="Times New Roman" w:hAnsi="Times New Roman"/>
              </w:rPr>
              <w:t>згідно</w:t>
            </w:r>
            <w:proofErr w:type="spellEnd"/>
            <w:r w:rsidRPr="000F09BC">
              <w:rPr>
                <w:rFonts w:ascii="Times New Roman" w:hAnsi="Times New Roman"/>
              </w:rPr>
              <w:t xml:space="preserve"> з </w:t>
            </w:r>
            <w:proofErr w:type="spellStart"/>
            <w:r w:rsidRPr="000F09BC">
              <w:rPr>
                <w:rFonts w:ascii="Times New Roman" w:hAnsi="Times New Roman"/>
              </w:rPr>
              <w:t>додатком</w:t>
            </w:r>
            <w:proofErr w:type="spellEnd"/>
            <w:r w:rsidRPr="000F09BC">
              <w:rPr>
                <w:rFonts w:ascii="Times New Roman" w:hAnsi="Times New Roman"/>
              </w:rPr>
              <w:t xml:space="preserve"> 2 до Порядку </w:t>
            </w:r>
            <w:proofErr w:type="spellStart"/>
            <w:r w:rsidRPr="000F09BC">
              <w:rPr>
                <w:rFonts w:ascii="Times New Roman" w:hAnsi="Times New Roman"/>
              </w:rPr>
              <w:t>проведення</w:t>
            </w:r>
            <w:proofErr w:type="spellEnd"/>
            <w:r w:rsidRPr="000F09BC">
              <w:rPr>
                <w:rFonts w:ascii="Times New Roman" w:hAnsi="Times New Roman"/>
              </w:rPr>
              <w:t xml:space="preserve"> конкурсу на </w:t>
            </w:r>
            <w:proofErr w:type="spellStart"/>
            <w:r w:rsidRPr="000F09BC">
              <w:rPr>
                <w:rFonts w:ascii="Times New Roman" w:hAnsi="Times New Roman"/>
              </w:rPr>
              <w:t>зайняття</w:t>
            </w:r>
            <w:proofErr w:type="spellEnd"/>
            <w:r w:rsidRPr="000F09BC">
              <w:rPr>
                <w:rFonts w:ascii="Times New Roman" w:hAnsi="Times New Roman"/>
              </w:rPr>
              <w:t xml:space="preserve"> посад </w:t>
            </w:r>
            <w:proofErr w:type="spellStart"/>
            <w:r w:rsidRPr="000F09BC">
              <w:rPr>
                <w:rFonts w:ascii="Times New Roman" w:hAnsi="Times New Roman"/>
              </w:rPr>
              <w:t>державної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служби</w:t>
            </w:r>
            <w:proofErr w:type="spellEnd"/>
            <w:r w:rsidRPr="000F09BC">
              <w:rPr>
                <w:rFonts w:ascii="Times New Roman" w:hAnsi="Times New Roman"/>
              </w:rPr>
              <w:t xml:space="preserve">, </w:t>
            </w:r>
            <w:proofErr w:type="spellStart"/>
            <w:r w:rsidRPr="000F09BC">
              <w:rPr>
                <w:rFonts w:ascii="Times New Roman" w:hAnsi="Times New Roman"/>
              </w:rPr>
              <w:t>затвердженого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постановою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Кабінету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Міністрів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України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від</w:t>
            </w:r>
            <w:proofErr w:type="spellEnd"/>
            <w:r w:rsidRPr="000F09BC">
              <w:rPr>
                <w:rFonts w:ascii="Times New Roman" w:hAnsi="Times New Roman"/>
              </w:rPr>
              <w:t xml:space="preserve"> 25 </w:t>
            </w:r>
            <w:proofErr w:type="spellStart"/>
            <w:r w:rsidRPr="000F09BC">
              <w:rPr>
                <w:rFonts w:ascii="Times New Roman" w:hAnsi="Times New Roman"/>
              </w:rPr>
              <w:t>березня</w:t>
            </w:r>
            <w:proofErr w:type="spellEnd"/>
            <w:r w:rsidRPr="000F09BC">
              <w:rPr>
                <w:rFonts w:ascii="Times New Roman" w:hAnsi="Times New Roman"/>
              </w:rPr>
              <w:t xml:space="preserve"> 2016 року № 246 (</w:t>
            </w:r>
            <w:proofErr w:type="spellStart"/>
            <w:r w:rsidRPr="000F09BC">
              <w:rPr>
                <w:rFonts w:ascii="Times New Roman" w:hAnsi="Times New Roman"/>
              </w:rPr>
              <w:t>зі</w:t>
            </w:r>
            <w:proofErr w:type="spellEnd"/>
            <w:r w:rsidRPr="000F09BC">
              <w:rPr>
                <w:rFonts w:ascii="Times New Roman" w:hAnsi="Times New Roman"/>
              </w:rPr>
              <w:t xml:space="preserve"> </w:t>
            </w:r>
            <w:proofErr w:type="spellStart"/>
            <w:r w:rsidRPr="000F09BC">
              <w:rPr>
                <w:rFonts w:ascii="Times New Roman" w:hAnsi="Times New Roman"/>
              </w:rPr>
              <w:t>змінами</w:t>
            </w:r>
            <w:proofErr w:type="spellEnd"/>
            <w:r w:rsidRPr="000F09BC">
              <w:rPr>
                <w:rFonts w:ascii="Times New Roman" w:hAnsi="Times New Roman"/>
              </w:rPr>
              <w:t>) (</w:t>
            </w:r>
            <w:proofErr w:type="spellStart"/>
            <w:r w:rsidRPr="000F09BC">
              <w:rPr>
                <w:rFonts w:ascii="Times New Roman" w:hAnsi="Times New Roman"/>
              </w:rPr>
              <w:t>далі</w:t>
            </w:r>
            <w:proofErr w:type="spellEnd"/>
            <w:r w:rsidRPr="000F09BC">
              <w:rPr>
                <w:rFonts w:ascii="Times New Roman" w:hAnsi="Times New Roman"/>
              </w:rPr>
              <w:t xml:space="preserve"> – Порядок);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0" w:name="n1171"/>
            <w:bookmarkEnd w:id="0"/>
            <w:r w:rsidRPr="000311C9">
              <w:rPr>
                <w:rFonts w:ascii="Times New Roman" w:eastAsiaTheme="minorHAnsi" w:hAnsi="Times New Roman"/>
              </w:rPr>
              <w:t xml:space="preserve">2) </w:t>
            </w:r>
            <w:r>
              <w:rPr>
                <w:rFonts w:ascii="Times New Roman" w:eastAsiaTheme="minorHAnsi" w:hAnsi="Times New Roman"/>
                <w:lang w:val="uk-UA"/>
              </w:rPr>
              <w:t>Р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езюме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 формою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 </w:t>
            </w:r>
            <w:hyperlink r:id="rId5" w:anchor="n1039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додатком</w:t>
              </w:r>
              <w:proofErr w:type="spellEnd"/>
              <w:r w:rsidRPr="000311C9">
                <w:rPr>
                  <w:rFonts w:ascii="Times New Roman" w:eastAsiaTheme="minorHAnsi" w:hAnsi="Times New Roman"/>
                </w:rPr>
                <w:t xml:space="preserve"> 2</w:t>
              </w:r>
            </w:hyperlink>
            <w:hyperlink r:id="rId6" w:anchor="n1039" w:history="1">
              <w:r w:rsidRPr="000311C9">
                <w:rPr>
                  <w:rFonts w:ascii="Times New Roman" w:eastAsiaTheme="minorHAnsi" w:hAnsi="Times New Roman"/>
                </w:rPr>
                <w:t>-1</w:t>
              </w:r>
            </w:hyperlink>
            <w:r>
              <w:rPr>
                <w:rFonts w:ascii="Times New Roman" w:eastAsiaTheme="minorHAnsi" w:hAnsi="Times New Roman"/>
                <w:lang w:val="uk-UA"/>
              </w:rPr>
              <w:t xml:space="preserve"> до Порядку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якому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зазначається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така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інформація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: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1" w:name="n1172"/>
            <w:bookmarkEnd w:id="1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прізвище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ім’я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по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батькові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кандидата;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2" w:name="n1173"/>
            <w:bookmarkEnd w:id="2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реквізити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документа,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посвідчує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особу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підтверджує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громадянство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3" w:name="n1174"/>
            <w:bookmarkEnd w:id="3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ступеня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вищої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освіти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4" w:name="n1175"/>
            <w:bookmarkEnd w:id="4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підтвердження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рівня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вільного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володіння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державною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мовою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5" w:name="n1176"/>
            <w:bookmarkEnd w:id="5"/>
            <w:r>
              <w:rPr>
                <w:rFonts w:ascii="Times New Roman" w:eastAsiaTheme="minorHAnsi" w:hAnsi="Times New Roman"/>
                <w:lang w:val="uk-UA"/>
              </w:rPr>
              <w:t xml:space="preserve">-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про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стаж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державної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служби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(за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наявності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),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досвід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роботи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 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сфері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умовах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конкурсу,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керівних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посадах</w:t>
            </w:r>
            <w:r>
              <w:rPr>
                <w:rFonts w:ascii="Times New Roman" w:eastAsiaTheme="minorHAnsi" w:hAnsi="Times New Roman"/>
                <w:lang w:val="uk-UA"/>
              </w:rPr>
              <w:t>;</w:t>
            </w:r>
            <w:r w:rsidRPr="000311C9">
              <w:rPr>
                <w:rFonts w:ascii="Times New Roman" w:eastAsiaTheme="minorHAnsi" w:hAnsi="Times New Roman"/>
              </w:rPr>
              <w:t xml:space="preserve"> 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6" w:name="n1446"/>
            <w:bookmarkEnd w:id="6"/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7" w:name="n1177"/>
            <w:bookmarkEnd w:id="7"/>
            <w:r w:rsidRPr="000311C9">
              <w:rPr>
                <w:rFonts w:ascii="Times New Roman" w:eastAsiaTheme="minorHAnsi" w:hAnsi="Times New Roman"/>
              </w:rPr>
              <w:t xml:space="preserve">3) </w:t>
            </w:r>
            <w:r>
              <w:rPr>
                <w:rFonts w:ascii="Times New Roman" w:eastAsiaTheme="minorHAnsi" w:hAnsi="Times New Roman"/>
                <w:lang w:val="uk-UA"/>
              </w:rPr>
              <w:t>З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аяв</w:t>
            </w:r>
            <w:proofErr w:type="spellEnd"/>
            <w:r>
              <w:rPr>
                <w:rFonts w:ascii="Times New Roman" w:eastAsiaTheme="minorHAnsi" w:hAnsi="Times New Roman"/>
                <w:lang w:val="uk-UA"/>
              </w:rPr>
              <w:t>а</w:t>
            </w:r>
            <w:r w:rsidRPr="000311C9">
              <w:rPr>
                <w:rFonts w:ascii="Times New Roman" w:eastAsiaTheme="minorHAnsi" w:hAnsi="Times New Roman"/>
              </w:rPr>
              <w:t xml:space="preserve">, в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якій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uk-UA"/>
              </w:rPr>
              <w:t xml:space="preserve">особа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повідомляє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що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не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застосовуються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заборони,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визначені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частиною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7" w:anchor="n13" w:tgtFrame="_blank" w:history="1">
              <w:proofErr w:type="spellStart"/>
              <w:r w:rsidRPr="000311C9">
                <w:rPr>
                  <w:rFonts w:ascii="Times New Roman" w:eastAsiaTheme="minorHAnsi" w:hAnsi="Times New Roman"/>
                </w:rPr>
                <w:t>третьою</w:t>
              </w:r>
              <w:proofErr w:type="spellEnd"/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або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hyperlink r:id="rId8" w:anchor="n14" w:tgtFrame="_blank" w:history="1">
              <w:r w:rsidRPr="000311C9">
                <w:rPr>
                  <w:rFonts w:ascii="Times New Roman" w:eastAsiaTheme="minorHAnsi" w:hAnsi="Times New Roman"/>
                </w:rPr>
                <w:t>четвертою</w:t>
              </w:r>
            </w:hyperlink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статті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1 Закону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України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“Про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очищення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влади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”, та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надає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згоду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проходження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перевірки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та на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оприлюднення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відомостей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стосовно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неї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відповідно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зазначеного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Закону.</w:t>
            </w:r>
          </w:p>
          <w:p w:rsidR="00B57DF9" w:rsidRPr="000311C9" w:rsidRDefault="00B57DF9" w:rsidP="00B57DF9">
            <w:pPr>
              <w:pStyle w:val="aa"/>
              <w:jc w:val="both"/>
              <w:rPr>
                <w:rFonts w:ascii="Times New Roman" w:eastAsiaTheme="minorHAnsi" w:hAnsi="Times New Roman"/>
              </w:rPr>
            </w:pPr>
            <w:bookmarkStart w:id="8" w:name="n1508"/>
            <w:bookmarkEnd w:id="8"/>
            <w:r w:rsidRPr="000311C9">
              <w:rPr>
                <w:rFonts w:ascii="Times New Roman" w:eastAsiaTheme="minorHAnsi" w:hAnsi="Times New Roman"/>
              </w:rPr>
              <w:t xml:space="preserve">Подача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додатків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 xml:space="preserve"> до заяви не є </w:t>
            </w:r>
            <w:proofErr w:type="spellStart"/>
            <w:r w:rsidRPr="000311C9">
              <w:rPr>
                <w:rFonts w:ascii="Times New Roman" w:eastAsiaTheme="minorHAnsi" w:hAnsi="Times New Roman"/>
              </w:rPr>
              <w:t>обов’язковою</w:t>
            </w:r>
            <w:proofErr w:type="spellEnd"/>
            <w:r w:rsidRPr="000311C9">
              <w:rPr>
                <w:rFonts w:ascii="Times New Roman" w:eastAsiaTheme="minorHAnsi" w:hAnsi="Times New Roman"/>
              </w:rPr>
              <w:t>;</w:t>
            </w:r>
          </w:p>
          <w:p w:rsidR="00B57DF9" w:rsidRPr="000F09BC" w:rsidRDefault="00B57DF9" w:rsidP="00B57DF9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09B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B57DF9" w:rsidRPr="000F09BC" w:rsidRDefault="00B57DF9" w:rsidP="00B57DF9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9" w:name="n1182"/>
            <w:bookmarkEnd w:id="9"/>
            <w:r w:rsidRPr="000F09B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B57DF9" w:rsidRDefault="00B57DF9" w:rsidP="00B57DF9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0F09BC">
              <w:rPr>
                <w:rFonts w:ascii="Times New Roman" w:hAnsi="Times New Roman" w:cs="Times New Roman"/>
              </w:rPr>
              <w:t xml:space="preserve"> Інформація подається через Єдиний портал вакансій державної служби </w:t>
            </w:r>
            <w:r w:rsidRPr="00CA3A36">
              <w:rPr>
                <w:rFonts w:ascii="Times New Roman" w:hAnsi="Times New Roman" w:cs="Times New Roman"/>
              </w:rPr>
              <w:t xml:space="preserve">НАДС до </w:t>
            </w:r>
            <w:r>
              <w:rPr>
                <w:rFonts w:ascii="Times New Roman" w:hAnsi="Times New Roman" w:cs="Times New Roman"/>
              </w:rPr>
              <w:t>17.00 год 14</w:t>
            </w:r>
            <w:r w:rsidRPr="00CA3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червня</w:t>
            </w:r>
            <w:r w:rsidRPr="00CA3A36">
              <w:rPr>
                <w:rFonts w:ascii="Times New Roman" w:hAnsi="Times New Roman" w:cs="Times New Roman"/>
              </w:rPr>
              <w:t xml:space="preserve"> 2021 року.</w:t>
            </w:r>
          </w:p>
          <w:p w:rsidR="00B57DF9" w:rsidRPr="000F09BC" w:rsidRDefault="00B57DF9" w:rsidP="00B57DF9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DF9" w:rsidRPr="00812B0F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Pr="00DA7CFD" w:rsidRDefault="00B57DF9" w:rsidP="00B57DF9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475DDB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B57DF9" w:rsidRDefault="00B57DF9" w:rsidP="00B57DF9">
            <w:pPr>
              <w:pStyle w:val="rvps14"/>
              <w:spacing w:before="0" w:beforeAutospacing="0" w:after="0" w:afterAutospacing="0"/>
              <w:ind w:left="57" w:right="57"/>
              <w:rPr>
                <w:rStyle w:val="rvts0"/>
              </w:rPr>
            </w:pPr>
            <w:r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0311C9">
                <w:rPr>
                  <w:rStyle w:val="rvts0"/>
                </w:rPr>
                <w:t>додатком 3</w:t>
              </w:r>
            </w:hyperlink>
            <w:r>
              <w:rPr>
                <w:rStyle w:val="rvts0"/>
              </w:rPr>
              <w:t xml:space="preserve"> Порядку.</w:t>
            </w:r>
          </w:p>
          <w:p w:rsidR="00B57DF9" w:rsidRPr="00DA7CFD" w:rsidRDefault="00B57DF9" w:rsidP="00B57DF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Pr="00896FF5" w:rsidRDefault="00B57DF9" w:rsidP="00B57DF9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B57DF9" w:rsidRPr="00896FF5" w:rsidRDefault="00B57DF9" w:rsidP="00B57DF9">
            <w:pPr>
              <w:pStyle w:val="rvps14"/>
              <w:spacing w:beforeAutospacing="0" w:afterAutospacing="0"/>
              <w:ind w:left="2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57DF9" w:rsidRDefault="00B57DF9" w:rsidP="00B57DF9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Місце а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бо спосіб проведення тестування</w:t>
            </w:r>
          </w:p>
          <w:p w:rsidR="00B57DF9" w:rsidRDefault="00B57DF9" w:rsidP="00B57DF9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57DF9" w:rsidRPr="00552CFD" w:rsidRDefault="00B57DF9" w:rsidP="00B57DF9">
            <w:pPr>
              <w:pStyle w:val="rvps14"/>
              <w:spacing w:beforeAutospacing="0" w:afterAutospacing="0"/>
              <w:ind w:left="2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М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ісце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та спосіб проведення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р</w:t>
            </w:r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озв’язання</w:t>
            </w:r>
            <w:proofErr w:type="spellEnd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52CFD">
              <w:rPr>
                <w:rFonts w:eastAsiaTheme="minorHAnsi"/>
                <w:b/>
                <w:sz w:val="22"/>
                <w:szCs w:val="22"/>
                <w:lang w:val="ru-RU" w:eastAsia="en-US"/>
              </w:rPr>
              <w:t>ситуаційних</w:t>
            </w:r>
            <w:proofErr w:type="spellEnd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val="ru-RU" w:eastAsia="en-US"/>
              </w:rPr>
              <w:t>завдань</w:t>
            </w:r>
            <w:proofErr w:type="spellEnd"/>
          </w:p>
          <w:p w:rsidR="00B57DF9" w:rsidRDefault="00B57DF9" w:rsidP="00B57DF9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57DF9" w:rsidRDefault="00B57DF9" w:rsidP="00B57DF9">
            <w:pPr>
              <w:pStyle w:val="rvps14"/>
              <w:spacing w:beforeAutospacing="0" w:afterAutospacing="0"/>
              <w:ind w:left="22" w:right="126" w:hanging="22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96FF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B57DF9" w:rsidRPr="00896FF5" w:rsidRDefault="00B57DF9" w:rsidP="00B57DF9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B57DF9" w:rsidRPr="006C2EA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7C8D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B57DF9" w:rsidRPr="00CA3A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Pr="00CA3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червня</w:t>
            </w:r>
            <w:r w:rsidRPr="00CA3A36">
              <w:rPr>
                <w:rFonts w:ascii="Times New Roman" w:hAnsi="Times New Roman" w:cs="Times New Roman"/>
              </w:rPr>
              <w:t xml:space="preserve"> 20</w:t>
            </w:r>
            <w:r w:rsidRPr="00CA3A36">
              <w:rPr>
                <w:rFonts w:ascii="Times New Roman" w:hAnsi="Times New Roman" w:cs="Times New Roman"/>
                <w:lang w:val="ru-RU"/>
              </w:rPr>
              <w:t>21</w:t>
            </w:r>
            <w:r w:rsidRPr="00CA3A36">
              <w:rPr>
                <w:rFonts w:ascii="Times New Roman" w:hAnsi="Times New Roman" w:cs="Times New Roman"/>
              </w:rPr>
              <w:t xml:space="preserve"> року, початок о 1</w:t>
            </w:r>
            <w:r w:rsidRPr="00CA3A36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.00</w:t>
            </w:r>
            <w:r w:rsidRPr="00CA3A36">
              <w:rPr>
                <w:rFonts w:ascii="Times New Roman" w:hAnsi="Times New Roman" w:cs="Times New Roman"/>
              </w:rPr>
              <w:t xml:space="preserve"> год.</w:t>
            </w: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CA3A36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CA3A3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CA3A36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CA3A36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CA3A36">
              <w:rPr>
                <w:rFonts w:ascii="Times New Roman" w:hAnsi="Times New Roman" w:cs="Times New Roman"/>
              </w:rPr>
              <w:t>, 1</w:t>
            </w:r>
            <w:r w:rsidRPr="00E07536">
              <w:rPr>
                <w:rFonts w:ascii="Times New Roman" w:hAnsi="Times New Roman" w:cs="Times New Roman"/>
              </w:rPr>
              <w:t xml:space="preserve"> </w:t>
            </w: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Проведення тестування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D8538B">
              <w:rPr>
                <w:rFonts w:ascii="Times New Roman" w:hAnsi="Times New Roman" w:cs="Times New Roman"/>
              </w:rPr>
              <w:t>, 1</w:t>
            </w: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розв’язання ситуаційних завдань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</w:t>
            </w:r>
            <w:r>
              <w:rPr>
                <w:rFonts w:ascii="Times New Roman" w:hAnsi="Times New Roman" w:cs="Times New Roman"/>
              </w:rPr>
              <w:t>,1</w:t>
            </w: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</w:t>
            </w:r>
            <w:r w:rsidRPr="00D8538B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D8538B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D8538B">
              <w:rPr>
                <w:rFonts w:ascii="Times New Roman" w:hAnsi="Times New Roman" w:cs="Times New Roman"/>
              </w:rPr>
              <w:t>: 4</w:t>
            </w:r>
            <w:r>
              <w:rPr>
                <w:rFonts w:ascii="Times New Roman" w:hAnsi="Times New Roman" w:cs="Times New Roman"/>
              </w:rPr>
              <w:t>4000</w:t>
            </w:r>
            <w:r w:rsidRPr="00D8538B">
              <w:rPr>
                <w:rFonts w:ascii="Times New Roman" w:hAnsi="Times New Roman" w:cs="Times New Roman"/>
              </w:rPr>
              <w:t xml:space="preserve">,  Волинська область, </w:t>
            </w:r>
            <w:proofErr w:type="spellStart"/>
            <w:r>
              <w:rPr>
                <w:rFonts w:ascii="Times New Roman" w:hAnsi="Times New Roman" w:cs="Times New Roman"/>
              </w:rPr>
              <w:t>смт.Шацьк</w:t>
            </w:r>
            <w:proofErr w:type="spellEnd"/>
            <w:r w:rsidRPr="00D8538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вул. 50 років Перемоги, 6 б</w:t>
            </w: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Default="00B57DF9" w:rsidP="00B57DF9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B57DF9" w:rsidRPr="00E07536" w:rsidRDefault="00B57DF9" w:rsidP="00B57D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1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Юрій Ігорович</w:t>
            </w:r>
          </w:p>
          <w:p w:rsidR="00B57DF9" w:rsidRPr="00E07536" w:rsidRDefault="00B57DF9" w:rsidP="00B57D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hAnsi="Times New Roman" w:cs="Times New Roman"/>
              </w:rPr>
              <w:t>. (0332) 773 315</w:t>
            </w:r>
            <w:r w:rsidRPr="00E07536">
              <w:rPr>
                <w:rFonts w:ascii="Times New Roman" w:hAnsi="Times New Roman" w:cs="Times New Roman"/>
              </w:rPr>
              <w:t xml:space="preserve">                   </w:t>
            </w:r>
            <w:r w:rsidRPr="00E07536">
              <w:rPr>
                <w:rFonts w:ascii="Times New Roman" w:hAnsi="Times New Roman" w:cs="Times New Roman"/>
              </w:rPr>
              <w:br/>
              <w:t>e-</w:t>
            </w:r>
            <w:proofErr w:type="spellStart"/>
            <w:r w:rsidRPr="00E07536">
              <w:rPr>
                <w:rFonts w:ascii="Times New Roman" w:hAnsi="Times New Roman" w:cs="Times New Roman"/>
              </w:rPr>
              <w:t>mail</w:t>
            </w:r>
            <w:proofErr w:type="spellEnd"/>
            <w:r w:rsidRPr="00E0753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E07536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B57DF9" w:rsidRPr="00E07536" w:rsidTr="00BF0953">
        <w:tc>
          <w:tcPr>
            <w:tcW w:w="10140" w:type="dxa"/>
            <w:gridSpan w:val="4"/>
          </w:tcPr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536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B57DF9" w:rsidRDefault="00B57DF9" w:rsidP="00B57DF9">
            <w:pPr>
              <w:pStyle w:val="a8"/>
              <w:jc w:val="both"/>
              <w:rPr>
                <w:color w:val="000000"/>
              </w:rPr>
            </w:pPr>
            <w:r w:rsidRPr="00090AFD">
              <w:rPr>
                <w:color w:val="000000"/>
              </w:rPr>
              <w:t>Вища юридична або економічна освіта або вища освіта в галузі державного управління з освітньо-</w:t>
            </w:r>
            <w:r>
              <w:rPr>
                <w:color w:val="000000"/>
              </w:rPr>
              <w:t>кваліфікаційним рівнем магістра (або прирівняна до неї вища освіта за освітньо-кваліфікаційним рівнем спеціаліста).</w:t>
            </w:r>
          </w:p>
          <w:p w:rsidR="00B57DF9" w:rsidRPr="009E7132" w:rsidRDefault="00B57DF9" w:rsidP="00B57DF9">
            <w:pPr>
              <w:pStyle w:val="a8"/>
              <w:jc w:val="both"/>
              <w:rPr>
                <w:sz w:val="22"/>
                <w:szCs w:val="22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B57DF9" w:rsidRDefault="00B57DF9" w:rsidP="00B57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GoBack"/>
            <w:r w:rsidRPr="00BB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0"/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7DF9" w:rsidRPr="00E07536" w:rsidTr="00B57DF9">
        <w:trPr>
          <w:gridAfter w:val="1"/>
          <w:wAfter w:w="10" w:type="dxa"/>
          <w:trHeight w:val="816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B57DF9" w:rsidRPr="00E07536" w:rsidTr="00B57DF9">
        <w:trPr>
          <w:gridAfter w:val="1"/>
          <w:wAfter w:w="10" w:type="dxa"/>
          <w:trHeight w:val="841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B57DF9" w:rsidRPr="00E07536" w:rsidTr="00BF0953">
        <w:tc>
          <w:tcPr>
            <w:tcW w:w="10140" w:type="dxa"/>
            <w:gridSpan w:val="4"/>
          </w:tcPr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7221" w:type="dxa"/>
          </w:tcPr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Компоненти вимоги</w:t>
            </w: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B57DF9" w:rsidRPr="00890A05" w:rsidRDefault="00B57DF9" w:rsidP="00B57DF9">
            <w:pPr>
              <w:spacing w:before="150"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7221" w:type="dxa"/>
          </w:tcPr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делегування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</w:t>
            </w:r>
            <w:proofErr w:type="spellStart"/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зультатами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Pr="009A165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мотивацією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наставництво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талантів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B57DF9" w:rsidRPr="00FA02EF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стимулювання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командної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57DF9" w:rsidRPr="00890A05" w:rsidRDefault="00B57DF9" w:rsidP="00B57DF9">
            <w:pPr>
              <w:pStyle w:val="aa"/>
              <w:ind w:left="720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387" w:type="dxa"/>
          </w:tcPr>
          <w:p w:rsidR="00B57DF9" w:rsidRPr="00890A05" w:rsidRDefault="00B57DF9" w:rsidP="00B57DF9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05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7221" w:type="dxa"/>
          </w:tcPr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чітке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ефективне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ресурсами; </w:t>
            </w:r>
          </w:p>
          <w:p w:rsidR="00B57DF9" w:rsidRPr="00D26547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чітке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>ефективне</w:t>
            </w:r>
            <w:proofErr w:type="spellEnd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процесами</w:t>
            </w:r>
            <w:r w:rsidRPr="00D26547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:rsidR="00B57DF9" w:rsidRPr="00D26547" w:rsidRDefault="00B57DF9" w:rsidP="00B57DF9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B57DF9" w:rsidRPr="00890A05" w:rsidRDefault="00B57DF9" w:rsidP="00B57DF9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r w:rsidRPr="00890A05">
              <w:rPr>
                <w:b/>
                <w:lang w:val="uk-UA"/>
              </w:rPr>
              <w:t>Досягнення результатів</w:t>
            </w:r>
          </w:p>
        </w:tc>
        <w:tc>
          <w:tcPr>
            <w:tcW w:w="7221" w:type="dxa"/>
          </w:tcPr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чіткого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бачення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фокусувати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зусилля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результату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Pr="00FA02EF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запобігати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долати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перешкоди</w:t>
            </w:r>
            <w:proofErr w:type="spellEnd"/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57DF9" w:rsidRPr="00E84103" w:rsidRDefault="00B57DF9" w:rsidP="00B57DF9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B57DF9" w:rsidRPr="00890A05" w:rsidRDefault="00B57DF9" w:rsidP="00B57DF9">
            <w:pPr>
              <w:pStyle w:val="ab"/>
              <w:spacing w:before="0" w:beforeAutospacing="0" w:after="0" w:afterAutospacing="0"/>
              <w:ind w:left="57" w:right="57"/>
              <w:rPr>
                <w:b/>
                <w:lang w:val="uk-UA"/>
              </w:rPr>
            </w:pPr>
            <w:proofErr w:type="spellStart"/>
            <w:r w:rsidRPr="00890A05">
              <w:rPr>
                <w:b/>
                <w:lang w:val="uk-UA"/>
              </w:rPr>
              <w:t>Стресостійкість</w:t>
            </w:r>
            <w:proofErr w:type="spellEnd"/>
          </w:p>
        </w:tc>
        <w:tc>
          <w:tcPr>
            <w:tcW w:w="7221" w:type="dxa"/>
          </w:tcPr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890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управляти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своїми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емоціями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до самоконтролю</w:t>
            </w:r>
            <w:proofErr w:type="gram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57DF9" w:rsidRPr="00890A05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конструктивного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ставлення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зворотного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критики; </w:t>
            </w:r>
          </w:p>
          <w:p w:rsidR="00B57DF9" w:rsidRDefault="00B57DF9" w:rsidP="00B57DF9">
            <w:pPr>
              <w:pStyle w:val="aa"/>
              <w:numPr>
                <w:ilvl w:val="0"/>
                <w:numId w:val="12"/>
              </w:numPr>
              <w:rPr>
                <w:rStyle w:val="rvts0"/>
                <w:rFonts w:ascii="Times New Roman" w:hAnsi="Times New Roman"/>
                <w:sz w:val="24"/>
                <w:szCs w:val="24"/>
              </w:rPr>
            </w:pPr>
            <w:proofErr w:type="spellStart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оптимізм</w:t>
            </w:r>
            <w:proofErr w:type="spellEnd"/>
            <w:r w:rsidRPr="00890A05">
              <w:rPr>
                <w:rStyle w:val="rvts0"/>
                <w:rFonts w:ascii="Times New Roman" w:hAnsi="Times New Roman"/>
                <w:sz w:val="24"/>
                <w:szCs w:val="24"/>
              </w:rPr>
              <w:t>.</w:t>
            </w:r>
          </w:p>
          <w:p w:rsidR="00B57DF9" w:rsidRPr="00890A05" w:rsidRDefault="00B57DF9" w:rsidP="00B57DF9">
            <w:pPr>
              <w:pStyle w:val="aa"/>
              <w:ind w:left="720"/>
              <w:rPr>
                <w:rStyle w:val="rvts0"/>
                <w:rFonts w:ascii="Times New Roman" w:hAnsi="Times New Roman"/>
                <w:sz w:val="24"/>
                <w:szCs w:val="24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B57DF9" w:rsidRPr="00E07536" w:rsidRDefault="00B57DF9" w:rsidP="00B5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1) Конституція України;</w:t>
            </w:r>
          </w:p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 xml:space="preserve">2) Закон України «Про державну службу»; </w:t>
            </w:r>
          </w:p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3) Закон України «Про запобігання корупції».</w:t>
            </w:r>
          </w:p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7DF9" w:rsidRPr="00E07536" w:rsidTr="00BF0953">
        <w:trPr>
          <w:gridAfter w:val="1"/>
          <w:wAfter w:w="10" w:type="dxa"/>
        </w:trPr>
        <w:tc>
          <w:tcPr>
            <w:tcW w:w="522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B57DF9" w:rsidRPr="00E07536" w:rsidRDefault="00B57DF9" w:rsidP="00B57D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536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B57DF9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законів про працю України;</w:t>
            </w:r>
          </w:p>
          <w:p w:rsidR="00B57DF9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E07536">
              <w:rPr>
                <w:rFonts w:ascii="Times New Roman" w:hAnsi="Times New Roman" w:cs="Times New Roman"/>
              </w:rPr>
              <w:t>Закон України «Про судоустрій і статус суддів»;</w:t>
            </w:r>
          </w:p>
          <w:p w:rsidR="00B57DF9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захист персональних даних»</w:t>
            </w:r>
          </w:p>
          <w:p w:rsidR="00B57DF9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звернення громадян»;</w:t>
            </w:r>
          </w:p>
          <w:p w:rsidR="00B57DF9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доступ до публічної інформації»;</w:t>
            </w:r>
          </w:p>
          <w:p w:rsidR="00B57DF9" w:rsidRPr="00E07536" w:rsidRDefault="00B57DF9" w:rsidP="00B57DF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України «Про охорону праці».</w:t>
            </w:r>
          </w:p>
          <w:p w:rsidR="00B57DF9" w:rsidRPr="00E07536" w:rsidRDefault="00B57DF9" w:rsidP="00B57DF9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3E5B" w:rsidRPr="00E07536" w:rsidRDefault="008B3E5B" w:rsidP="007D0B54">
      <w:pPr>
        <w:jc w:val="both"/>
        <w:rPr>
          <w:rFonts w:ascii="Times New Roman" w:hAnsi="Times New Roman" w:cs="Times New Roman"/>
        </w:rPr>
      </w:pPr>
    </w:p>
    <w:sectPr w:rsidR="008B3E5B" w:rsidRPr="00E07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56B5A"/>
    <w:multiLevelType w:val="hybridMultilevel"/>
    <w:tmpl w:val="37BA5D34"/>
    <w:lvl w:ilvl="0" w:tplc="4746AE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0F09BC"/>
    <w:rsid w:val="00127F0B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632C1"/>
    <w:rsid w:val="00475DDB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469C6"/>
    <w:rsid w:val="00564796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D0B54"/>
    <w:rsid w:val="007E12B0"/>
    <w:rsid w:val="007E31C7"/>
    <w:rsid w:val="008101A1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2595"/>
    <w:rsid w:val="008B3E5B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B5CDD"/>
    <w:rsid w:val="00AD41F6"/>
    <w:rsid w:val="00AE3619"/>
    <w:rsid w:val="00AE414E"/>
    <w:rsid w:val="00B02933"/>
    <w:rsid w:val="00B07F64"/>
    <w:rsid w:val="00B1468F"/>
    <w:rsid w:val="00B4353D"/>
    <w:rsid w:val="00B57DF9"/>
    <w:rsid w:val="00BA56E3"/>
    <w:rsid w:val="00BC330F"/>
    <w:rsid w:val="00BD306D"/>
    <w:rsid w:val="00BD6543"/>
    <w:rsid w:val="00BF22B5"/>
    <w:rsid w:val="00C01CE9"/>
    <w:rsid w:val="00C20991"/>
    <w:rsid w:val="00C42CE3"/>
    <w:rsid w:val="00C431CE"/>
    <w:rsid w:val="00C71558"/>
    <w:rsid w:val="00C72B14"/>
    <w:rsid w:val="00C73AF9"/>
    <w:rsid w:val="00C83EBB"/>
    <w:rsid w:val="00C97F8C"/>
    <w:rsid w:val="00CA3A36"/>
    <w:rsid w:val="00D01A51"/>
    <w:rsid w:val="00D03E0B"/>
    <w:rsid w:val="00D72162"/>
    <w:rsid w:val="00D73608"/>
    <w:rsid w:val="00D8364E"/>
    <w:rsid w:val="00D90D46"/>
    <w:rsid w:val="00DA54C4"/>
    <w:rsid w:val="00DB2180"/>
    <w:rsid w:val="00DB5CEC"/>
    <w:rsid w:val="00DC195E"/>
    <w:rsid w:val="00DC6907"/>
    <w:rsid w:val="00DD169F"/>
    <w:rsid w:val="00DD4874"/>
    <w:rsid w:val="00E07536"/>
    <w:rsid w:val="00E20A18"/>
    <w:rsid w:val="00E23FCA"/>
    <w:rsid w:val="00E2537D"/>
    <w:rsid w:val="00E26941"/>
    <w:rsid w:val="00E335E5"/>
    <w:rsid w:val="00E52077"/>
    <w:rsid w:val="00E6778F"/>
    <w:rsid w:val="00E8607F"/>
    <w:rsid w:val="00EB595D"/>
    <w:rsid w:val="00ED6F28"/>
    <w:rsid w:val="00EF5900"/>
    <w:rsid w:val="00F2379B"/>
    <w:rsid w:val="00F5026C"/>
    <w:rsid w:val="00F52BF7"/>
    <w:rsid w:val="00F67689"/>
    <w:rsid w:val="00F80148"/>
    <w:rsid w:val="00FA02EF"/>
    <w:rsid w:val="00FA2ADB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31B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,Без интервала1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5844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24</cp:revision>
  <cp:lastPrinted>2021-06-03T11:18:00Z</cp:lastPrinted>
  <dcterms:created xsi:type="dcterms:W3CDTF">2019-09-18T08:34:00Z</dcterms:created>
  <dcterms:modified xsi:type="dcterms:W3CDTF">2021-06-04T10:03:00Z</dcterms:modified>
</cp:coreProperties>
</file>