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Додаток 1</w:t>
      </w:r>
    </w:p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225201" w:rsidRPr="000F09BC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52077">
        <w:rPr>
          <w:rFonts w:ascii="Times New Roman" w:hAnsi="Times New Roman" w:cs="Times New Roman"/>
          <w:sz w:val="24"/>
          <w:szCs w:val="24"/>
        </w:rPr>
        <w:t>№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3D02">
        <w:rPr>
          <w:rFonts w:ascii="Times New Roman" w:hAnsi="Times New Roman" w:cs="Times New Roman"/>
          <w:sz w:val="24"/>
          <w:szCs w:val="24"/>
          <w:u w:val="single"/>
        </w:rPr>
        <w:t>136</w:t>
      </w:r>
      <w:r w:rsidR="000F09BC" w:rsidRPr="00D03E0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1AB7" w:rsidRPr="00E52077">
        <w:rPr>
          <w:rFonts w:ascii="Times New Roman" w:hAnsi="Times New Roman" w:cs="Times New Roman"/>
          <w:sz w:val="24"/>
          <w:szCs w:val="24"/>
          <w:u w:val="single"/>
        </w:rPr>
        <w:t>01-08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5201" w:rsidRPr="00E52077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A3D02">
        <w:rPr>
          <w:rFonts w:ascii="Times New Roman" w:hAnsi="Times New Roman" w:cs="Times New Roman"/>
          <w:sz w:val="24"/>
          <w:szCs w:val="24"/>
          <w:u w:val="single"/>
        </w:rPr>
        <w:t>26</w:t>
      </w:r>
      <w:bookmarkStart w:id="0" w:name="_GoBack"/>
      <w:bookmarkEnd w:id="0"/>
      <w:r w:rsidR="005D0BA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379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0BA9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F2379B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0F09BC" w:rsidRPr="00D03E0B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</w:p>
    <w:p w:rsidR="005D0BA9" w:rsidRPr="005D0BA9" w:rsidRDefault="005D0BA9" w:rsidP="005D0BA9">
      <w:pPr>
        <w:pStyle w:val="aa"/>
        <w:jc w:val="center"/>
        <w:rPr>
          <w:rFonts w:ascii="Times New Roman" w:hAnsi="Times New Roman"/>
          <w:b/>
          <w:sz w:val="28"/>
        </w:rPr>
      </w:pPr>
      <w:r w:rsidRPr="005D0BA9">
        <w:rPr>
          <w:rFonts w:ascii="Times New Roman" w:hAnsi="Times New Roman"/>
          <w:b/>
          <w:sz w:val="28"/>
        </w:rPr>
        <w:t>ОГОЛОШЕННЯ</w:t>
      </w:r>
    </w:p>
    <w:p w:rsidR="005D0BA9" w:rsidRPr="005D0BA9" w:rsidRDefault="005D0BA9" w:rsidP="005D0BA9">
      <w:pPr>
        <w:pStyle w:val="aa"/>
        <w:jc w:val="center"/>
        <w:rPr>
          <w:rFonts w:ascii="Times New Roman" w:hAnsi="Times New Roman"/>
          <w:b/>
          <w:sz w:val="28"/>
        </w:rPr>
      </w:pPr>
      <w:r w:rsidRPr="005D0BA9">
        <w:rPr>
          <w:rFonts w:ascii="Times New Roman" w:hAnsi="Times New Roman"/>
          <w:b/>
          <w:sz w:val="28"/>
        </w:rPr>
        <w:t>про добір на період дії карантину</w:t>
      </w:r>
    </w:p>
    <w:p w:rsidR="005D0BA9" w:rsidRDefault="005D0BA9" w:rsidP="005D0BA9">
      <w:pPr>
        <w:pStyle w:val="aa"/>
        <w:jc w:val="center"/>
        <w:rPr>
          <w:rFonts w:ascii="Times New Roman" w:hAnsi="Times New Roman"/>
          <w:b/>
          <w:sz w:val="28"/>
        </w:rPr>
      </w:pPr>
      <w:r w:rsidRPr="005D0BA9">
        <w:rPr>
          <w:rFonts w:ascii="Times New Roman" w:hAnsi="Times New Roman"/>
          <w:b/>
          <w:sz w:val="28"/>
        </w:rPr>
        <w:t xml:space="preserve">на </w:t>
      </w:r>
      <w:proofErr w:type="spellStart"/>
      <w:r w:rsidRPr="005D0BA9">
        <w:rPr>
          <w:rFonts w:ascii="Times New Roman" w:hAnsi="Times New Roman"/>
          <w:b/>
          <w:sz w:val="28"/>
        </w:rPr>
        <w:t>зайняття</w:t>
      </w:r>
      <w:proofErr w:type="spellEnd"/>
      <w:r w:rsidRPr="005D0BA9">
        <w:rPr>
          <w:rFonts w:ascii="Times New Roman" w:hAnsi="Times New Roman"/>
          <w:b/>
          <w:sz w:val="28"/>
        </w:rPr>
        <w:t xml:space="preserve"> </w:t>
      </w:r>
      <w:proofErr w:type="spellStart"/>
      <w:r w:rsidRPr="005D0BA9">
        <w:rPr>
          <w:rFonts w:ascii="Times New Roman" w:hAnsi="Times New Roman"/>
          <w:b/>
          <w:sz w:val="28"/>
        </w:rPr>
        <w:t>вакантної</w:t>
      </w:r>
      <w:proofErr w:type="spellEnd"/>
      <w:r w:rsidRPr="005D0BA9">
        <w:rPr>
          <w:rFonts w:ascii="Times New Roman" w:hAnsi="Times New Roman"/>
          <w:b/>
          <w:sz w:val="28"/>
        </w:rPr>
        <w:t xml:space="preserve"> посади </w:t>
      </w:r>
      <w:proofErr w:type="spellStart"/>
      <w:r w:rsidRPr="005D0BA9">
        <w:rPr>
          <w:rFonts w:ascii="Times New Roman" w:hAnsi="Times New Roman"/>
          <w:b/>
          <w:sz w:val="28"/>
        </w:rPr>
        <w:t>державної</w:t>
      </w:r>
      <w:proofErr w:type="spellEnd"/>
      <w:r w:rsidRPr="005D0BA9">
        <w:rPr>
          <w:rFonts w:ascii="Times New Roman" w:hAnsi="Times New Roman"/>
          <w:b/>
          <w:sz w:val="28"/>
        </w:rPr>
        <w:t xml:space="preserve"> </w:t>
      </w:r>
      <w:proofErr w:type="spellStart"/>
      <w:r w:rsidRPr="005D0BA9">
        <w:rPr>
          <w:rFonts w:ascii="Times New Roman" w:hAnsi="Times New Roman"/>
          <w:b/>
          <w:sz w:val="28"/>
        </w:rPr>
        <w:t>служби</w:t>
      </w:r>
      <w:proofErr w:type="spellEnd"/>
      <w:r w:rsidRPr="005D0BA9">
        <w:rPr>
          <w:rFonts w:ascii="Times New Roman" w:hAnsi="Times New Roman"/>
          <w:b/>
          <w:sz w:val="28"/>
        </w:rPr>
        <w:t xml:space="preserve"> </w:t>
      </w:r>
      <w:proofErr w:type="spellStart"/>
      <w:r w:rsidRPr="005D0BA9">
        <w:rPr>
          <w:rFonts w:ascii="Times New Roman" w:hAnsi="Times New Roman"/>
          <w:b/>
          <w:sz w:val="28"/>
        </w:rPr>
        <w:t>категорії</w:t>
      </w:r>
      <w:proofErr w:type="spellEnd"/>
      <w:r w:rsidRPr="005D0BA9">
        <w:rPr>
          <w:rFonts w:ascii="Times New Roman" w:hAnsi="Times New Roman"/>
          <w:b/>
          <w:sz w:val="28"/>
        </w:rPr>
        <w:t xml:space="preserve"> «Б» - заступника </w:t>
      </w:r>
      <w:proofErr w:type="spellStart"/>
      <w:r w:rsidRPr="005D0BA9">
        <w:rPr>
          <w:rFonts w:ascii="Times New Roman" w:hAnsi="Times New Roman"/>
          <w:b/>
          <w:sz w:val="28"/>
        </w:rPr>
        <w:t>керівника</w:t>
      </w:r>
      <w:proofErr w:type="spellEnd"/>
      <w:r w:rsidRPr="005D0BA9">
        <w:rPr>
          <w:rFonts w:ascii="Times New Roman" w:hAnsi="Times New Roman"/>
          <w:b/>
          <w:sz w:val="28"/>
        </w:rPr>
        <w:t xml:space="preserve"> </w:t>
      </w:r>
      <w:proofErr w:type="spellStart"/>
      <w:r w:rsidRPr="005D0BA9">
        <w:rPr>
          <w:rFonts w:ascii="Times New Roman" w:hAnsi="Times New Roman"/>
          <w:b/>
          <w:sz w:val="28"/>
        </w:rPr>
        <w:t>апарату</w:t>
      </w:r>
      <w:proofErr w:type="spellEnd"/>
      <w:r w:rsidRPr="005D0BA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Нововолинського міського</w:t>
      </w:r>
      <w:r w:rsidRPr="005D0BA9">
        <w:rPr>
          <w:rFonts w:ascii="Times New Roman" w:hAnsi="Times New Roman"/>
          <w:b/>
          <w:sz w:val="28"/>
        </w:rPr>
        <w:t xml:space="preserve"> суду </w:t>
      </w:r>
      <w:r>
        <w:rPr>
          <w:rFonts w:ascii="Times New Roman" w:hAnsi="Times New Roman"/>
          <w:b/>
          <w:sz w:val="28"/>
          <w:lang w:val="uk-UA"/>
        </w:rPr>
        <w:t>Волинської</w:t>
      </w:r>
      <w:r w:rsidRPr="005D0BA9">
        <w:rPr>
          <w:rFonts w:ascii="Times New Roman" w:hAnsi="Times New Roman"/>
          <w:b/>
          <w:sz w:val="28"/>
        </w:rPr>
        <w:t xml:space="preserve"> </w:t>
      </w:r>
      <w:proofErr w:type="spellStart"/>
      <w:r w:rsidRPr="005D0BA9">
        <w:rPr>
          <w:rFonts w:ascii="Times New Roman" w:hAnsi="Times New Roman"/>
          <w:b/>
          <w:sz w:val="28"/>
        </w:rPr>
        <w:t>області</w:t>
      </w:r>
      <w:proofErr w:type="spellEnd"/>
    </w:p>
    <w:p w:rsidR="005D0BA9" w:rsidRPr="005D0BA9" w:rsidRDefault="005D0BA9" w:rsidP="005D0BA9">
      <w:pPr>
        <w:pStyle w:val="aa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2"/>
        <w:gridCol w:w="2387"/>
        <w:gridCol w:w="7221"/>
        <w:gridCol w:w="10"/>
      </w:tblGrid>
      <w:tr w:rsidR="00C431CE" w:rsidRPr="00812B0F" w:rsidTr="006E460A">
        <w:tc>
          <w:tcPr>
            <w:tcW w:w="10140" w:type="dxa"/>
            <w:gridSpan w:val="4"/>
          </w:tcPr>
          <w:p w:rsidR="00C431CE" w:rsidRPr="00E07536" w:rsidRDefault="00C431CE" w:rsidP="00C431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1E8">
              <w:rPr>
                <w:rFonts w:ascii="Times New Roman" w:hAnsi="Times New Roman" w:cs="Times New Roman"/>
                <w:sz w:val="24"/>
              </w:rPr>
              <w:t>Загальні умови</w:t>
            </w:r>
          </w:p>
        </w:tc>
      </w:tr>
      <w:tr w:rsidR="00E07536" w:rsidRPr="00812B0F" w:rsidTr="000F09BC">
        <w:trPr>
          <w:gridAfter w:val="1"/>
          <w:wAfter w:w="10" w:type="dxa"/>
        </w:trPr>
        <w:tc>
          <w:tcPr>
            <w:tcW w:w="2909" w:type="dxa"/>
            <w:gridSpan w:val="2"/>
          </w:tcPr>
          <w:p w:rsidR="00E07536" w:rsidRPr="00E07536" w:rsidRDefault="00E07536" w:rsidP="00E075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11E8">
              <w:rPr>
                <w:rFonts w:ascii="Times New Roman" w:hAnsi="Times New Roman" w:cs="Times New Roman"/>
                <w:b/>
                <w:sz w:val="24"/>
              </w:rPr>
              <w:t xml:space="preserve">Посадові обов’язки </w:t>
            </w:r>
          </w:p>
        </w:tc>
        <w:tc>
          <w:tcPr>
            <w:tcW w:w="7221" w:type="dxa"/>
          </w:tcPr>
          <w:p w:rsidR="005D0BA9" w:rsidRPr="007011E8" w:rsidRDefault="005D0BA9" w:rsidP="005D0BA9">
            <w:pPr>
              <w:tabs>
                <w:tab w:val="left" w:pos="4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1. </w:t>
            </w:r>
            <w:proofErr w:type="spellStart"/>
            <w:proofErr w:type="gram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Організація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та</w:t>
            </w:r>
            <w:proofErr w:type="gram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виконанння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обов'язків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роботі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персоналом у державному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органі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забезпечення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виконання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покладених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на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неї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завдань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функцій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</w:p>
          <w:p w:rsidR="005D0BA9" w:rsidRDefault="005D0BA9" w:rsidP="005E3C63">
            <w:pPr>
              <w:pStyle w:val="a5"/>
              <w:numPr>
                <w:ilvl w:val="0"/>
                <w:numId w:val="14"/>
              </w:numPr>
              <w:tabs>
                <w:tab w:val="left" w:pos="42"/>
              </w:tabs>
              <w:ind w:left="-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розроблення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спеціальних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вимоги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осіб,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претендують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зайняття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посад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категорії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«В»;</w:t>
            </w:r>
          </w:p>
          <w:p w:rsidR="005D0BA9" w:rsidRDefault="005D0BA9" w:rsidP="003E5B64">
            <w:pPr>
              <w:pStyle w:val="a5"/>
              <w:numPr>
                <w:ilvl w:val="0"/>
                <w:numId w:val="14"/>
              </w:numPr>
              <w:tabs>
                <w:tab w:val="left" w:pos="42"/>
              </w:tabs>
              <w:ind w:left="-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оприлюднення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інформації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оголошення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конкурсу на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Єдиному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порталі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вакансій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НАДС;</w:t>
            </w:r>
          </w:p>
          <w:p w:rsidR="005D0BA9" w:rsidRDefault="005D0BA9" w:rsidP="005438D0">
            <w:pPr>
              <w:pStyle w:val="a5"/>
              <w:numPr>
                <w:ilvl w:val="0"/>
                <w:numId w:val="14"/>
              </w:numPr>
              <w:tabs>
                <w:tab w:val="left" w:pos="42"/>
              </w:tabs>
              <w:ind w:left="-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приймання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документів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кандидатів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зайняття вакантних посад державної служби категорії «В», проводить перевірку документів, поданих кандидатами, на відповідні встановленим законом вимогам, повідомлення кандидатів про результати такої перевірки та подання їх на розгляд конкурсної комісії,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здійснення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інших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заходів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організації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забезпечення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конкурсного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відбору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677E79">
            <w:pPr>
              <w:pStyle w:val="a5"/>
              <w:numPr>
                <w:ilvl w:val="0"/>
                <w:numId w:val="14"/>
              </w:numPr>
              <w:tabs>
                <w:tab w:val="left" w:pos="42"/>
              </w:tabs>
              <w:ind w:left="-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забезпечення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організації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проведення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перевірки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достовірності відомостей щодо застосування заборон, передбачених </w:t>
            </w:r>
            <w:hyperlink r:id="rId5" w:anchor="n13" w:tgtFrame="_blank" w:history="1">
              <w:r w:rsidRPr="005D0B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ru-RU" w:eastAsia="ru-RU"/>
                </w:rPr>
                <w:t>частинами третьою</w:t>
              </w:r>
            </w:hyperlink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і </w:t>
            </w:r>
            <w:hyperlink r:id="rId6" w:anchor="n14" w:tgtFrame="_blank" w:history="1">
              <w:r w:rsidRPr="005D0B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ru-RU" w:eastAsia="ru-RU"/>
                </w:rPr>
                <w:t>четвертою</w:t>
              </w:r>
            </w:hyperlink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 статті 1 Закону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України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очищення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влади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»,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підготовка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довідок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результати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5F5AC6">
            <w:pPr>
              <w:pStyle w:val="a5"/>
              <w:numPr>
                <w:ilvl w:val="0"/>
                <w:numId w:val="14"/>
              </w:numPr>
              <w:tabs>
                <w:tab w:val="left" w:pos="42"/>
              </w:tabs>
              <w:ind w:left="-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забезпечення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організації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проведення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спеціальної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перевірки щодо осіб, які претендують на зайняття посад в державному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органі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EA5EC5">
            <w:pPr>
              <w:pStyle w:val="a5"/>
              <w:numPr>
                <w:ilvl w:val="0"/>
                <w:numId w:val="14"/>
              </w:numPr>
              <w:tabs>
                <w:tab w:val="left" w:pos="42"/>
              </w:tabs>
              <w:ind w:left="-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організація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складення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Присяги державного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особою, яка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вперше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вступає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службу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долучення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тексту присяг</w:t>
            </w:r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и до </w:t>
            </w:r>
            <w:proofErr w:type="spellStart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особової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справи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працівника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660D4B">
            <w:pPr>
              <w:pStyle w:val="a5"/>
              <w:numPr>
                <w:ilvl w:val="0"/>
                <w:numId w:val="14"/>
              </w:numPr>
              <w:tabs>
                <w:tab w:val="left" w:pos="42"/>
              </w:tabs>
              <w:ind w:left="-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потреби  в</w:t>
            </w:r>
            <w:proofErr w:type="gram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персоналі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вакантні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посади в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апараті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внесення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пропозицій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керівнику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апарату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DB3AA7">
            <w:pPr>
              <w:pStyle w:val="a5"/>
              <w:numPr>
                <w:ilvl w:val="0"/>
                <w:numId w:val="14"/>
              </w:numPr>
              <w:tabs>
                <w:tab w:val="left" w:pos="42"/>
              </w:tabs>
              <w:ind w:left="-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внесення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керівнику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пропозицій з питань удосконалення управління персоналом, штатної чисельності, структури та штатного розпису державного органу, призначення, звільнення з посади,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заохочення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притягнення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дисциплінарної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відповідальності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державного органу;</w:t>
            </w:r>
          </w:p>
          <w:p w:rsidR="005D0BA9" w:rsidRDefault="005D0BA9" w:rsidP="00940023">
            <w:pPr>
              <w:pStyle w:val="a5"/>
              <w:numPr>
                <w:ilvl w:val="0"/>
                <w:numId w:val="14"/>
              </w:numPr>
              <w:tabs>
                <w:tab w:val="left" w:pos="42"/>
              </w:tabs>
              <w:ind w:left="-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забезпечення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підготовки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матеріалів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призначення на посади, </w:t>
            </w:r>
            <w:proofErr w:type="spellStart"/>
            <w:proofErr w:type="gram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переведення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та</w:t>
            </w:r>
            <w:proofErr w:type="gram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звільнення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посади 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апарату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суду;</w:t>
            </w:r>
          </w:p>
          <w:p w:rsidR="005D0BA9" w:rsidRDefault="005D0BA9" w:rsidP="007B0C36">
            <w:pPr>
              <w:pStyle w:val="a5"/>
              <w:numPr>
                <w:ilvl w:val="0"/>
                <w:numId w:val="14"/>
              </w:numPr>
              <w:tabs>
                <w:tab w:val="left" w:pos="42"/>
              </w:tabs>
              <w:ind w:left="-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забезпечення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proofErr w:type="gram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захисту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персональних</w:t>
            </w:r>
            <w:proofErr w:type="spellEnd"/>
            <w:proofErr w:type="gram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працівників апарату суду при їх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обробці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відібрання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згоди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збір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обробку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персональних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даних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B81A87">
            <w:pPr>
              <w:pStyle w:val="a5"/>
              <w:numPr>
                <w:ilvl w:val="0"/>
                <w:numId w:val="14"/>
              </w:numPr>
              <w:tabs>
                <w:tab w:val="left" w:pos="42"/>
              </w:tabs>
              <w:ind w:left="-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оформлення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облік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зберігання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видача посвідчень працівників апарату суду </w:t>
            </w:r>
            <w:proofErr w:type="gram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державним  службовцям</w:t>
            </w:r>
            <w:proofErr w:type="gram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та іншим працівникам апарату суду,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журналу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видачі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посвідчень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журнал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обліку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отримання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бланків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посвідчень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E07536" w:rsidRPr="005D0BA9" w:rsidRDefault="005D0BA9" w:rsidP="00B81A87">
            <w:pPr>
              <w:pStyle w:val="a5"/>
              <w:numPr>
                <w:ilvl w:val="0"/>
                <w:numId w:val="14"/>
              </w:numPr>
              <w:tabs>
                <w:tab w:val="left" w:pos="42"/>
              </w:tabs>
              <w:ind w:left="-37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здійснення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перевірки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дотримання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вимог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законодавства про працю та державну службу, правил внутрішнього службового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розпорядку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державному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органі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дорученням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керівника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5D0BA9">
            <w:pPr>
              <w:tabs>
                <w:tab w:val="left" w:pos="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5D0BA9" w:rsidRPr="005D0BA9" w:rsidRDefault="005D0BA9" w:rsidP="005D0BA9">
            <w:pPr>
              <w:tabs>
                <w:tab w:val="left" w:pos="4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2.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Організація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proofErr w:type="gram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забезпечення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кадрової</w:t>
            </w:r>
            <w:proofErr w:type="spellEnd"/>
            <w:proofErr w:type="gram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апарату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суду:</w:t>
            </w:r>
          </w:p>
          <w:p w:rsidR="005D0BA9" w:rsidRDefault="005D0BA9" w:rsidP="002D36F8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розроблення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проектів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документів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питань управління персоналу, трудових відносин, державної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умов оплати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та з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інших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діяльності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суду;</w:t>
            </w:r>
          </w:p>
          <w:p w:rsidR="005D0BA9" w:rsidRDefault="005D0BA9" w:rsidP="002427F1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розроблення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затвердження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посадових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інструкцій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інших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апарату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суду, 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також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перегляд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відповідність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встановленим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законодавством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вимогам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ознайомлення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правилами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внутрішнього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службового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розпорядку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державного органу,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посадовими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інструкціями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FB0BB5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proofErr w:type="gram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заповнення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табелю</w:t>
            </w:r>
            <w:proofErr w:type="gram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обліку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робочого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часу;</w:t>
            </w:r>
          </w:p>
          <w:p w:rsidR="005D0BA9" w:rsidRDefault="005D0BA9" w:rsidP="00383067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здійснення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оформлення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листків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тимчасової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непрацездатності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засідань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комісії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соціального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страхування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FD5FE3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здійснення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оформленню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посвідчень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відрядження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журналу обліку і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видачі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посвідчень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відрядження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стосується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інших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апарату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суду;</w:t>
            </w:r>
          </w:p>
          <w:p w:rsidR="005D0BA9" w:rsidRDefault="005D0BA9" w:rsidP="003F0764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розгляд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пропозицій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підготовка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документів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заохочення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нагородження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персоналу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державними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нагородами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відомчими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заохочувальними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відзнаками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вносить записи 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заохочення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особових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карток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трудових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книжок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апарату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5B2652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proofErr w:type="gram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оформлення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та</w:t>
            </w:r>
            <w:proofErr w:type="gram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видання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довідок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місця роботи працівникам про стаж,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місце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інше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журналу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обліку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виданих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довідок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B776C9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proofErr w:type="gram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табеля</w:t>
            </w:r>
            <w:proofErr w:type="gram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обліку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робочого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часу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</w:t>
            </w:r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1C217F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документального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забезпечення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оформлення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посвідчень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відрядження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суд</w:t>
            </w:r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дів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працівників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апарату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суду;</w:t>
            </w:r>
          </w:p>
          <w:p w:rsidR="005D0BA9" w:rsidRDefault="005D0BA9" w:rsidP="00E94C0D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оформлення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листків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непрацездатності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засідань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комісії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суду </w:t>
            </w:r>
            <w:proofErr w:type="spellStart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соціального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страхування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9C1AEB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організаційно-документальне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забезпечення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добору персоналу, перевірка та прийом документів від осіб при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прийнятті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 роботу</w:t>
            </w:r>
            <w:proofErr w:type="gram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здійснення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документального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оформлення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вступу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службу,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проходження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припинення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173BA4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проведення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обліку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зберігання та оформлення особових справ та трудових книжок державних службовців та інших працівників апарату суду,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внесення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особових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карток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трудових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книжок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EE6444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формування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графіку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відпусток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апарату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обліку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контроль за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дотриманням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графіку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відпусток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84442E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здійснення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оформлення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обчислення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стажу державної служби,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патронатної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виконують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функції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</w:t>
            </w:r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слуговування</w:t>
            </w:r>
            <w:proofErr w:type="spellEnd"/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матеріалів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прийняття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присяги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державними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службовцями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апарату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присвоєння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рангів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державним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службовцям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DF70BE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здійснення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контролю за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вчасною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підготовкою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проектів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наказів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встановленням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надбавок за стаж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дає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право на щомісячну доплату також оформлення організаційно-розпорядчих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інших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необхідних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документів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присвоєння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рангів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внесення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трудову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книжку,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особову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державного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5D0BA9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підготовка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  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проектів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 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наказів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основної діяльності, адміністративно- господарських питань та особового складу щодо </w:t>
            </w:r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працівників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апарату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журналів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обліку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наказів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; </w:t>
            </w:r>
          </w:p>
          <w:p w:rsidR="005D0BA9" w:rsidRDefault="005D0BA9" w:rsidP="005D0BA9">
            <w:pPr>
              <w:pStyle w:val="a5"/>
              <w:numPr>
                <w:ilvl w:val="0"/>
                <w:numId w:val="15"/>
              </w:numPr>
              <w:tabs>
                <w:tab w:val="left" w:pos="42"/>
              </w:tabs>
              <w:ind w:left="105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наповнення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інформаційно-аналітичної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системи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«Кадри-WEB»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інших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апарату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суду.</w:t>
            </w:r>
          </w:p>
          <w:p w:rsidR="005D0BA9" w:rsidRPr="005D0BA9" w:rsidRDefault="005D0BA9" w:rsidP="005D0B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3.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Здійснення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заходів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підвищення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кваліфікації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щорічного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оцінювання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</w:p>
          <w:p w:rsidR="005D0BA9" w:rsidRDefault="005D0BA9" w:rsidP="007D5A64">
            <w:pPr>
              <w:pStyle w:val="a5"/>
              <w:numPr>
                <w:ilvl w:val="0"/>
                <w:numId w:val="16"/>
              </w:numPr>
              <w:ind w:left="-4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узагальнення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потреб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підготовці,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спеціалізації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-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підвищенні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кваліфікації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внесення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пропозицій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керівнику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0D2245">
            <w:pPr>
              <w:pStyle w:val="a5"/>
              <w:numPr>
                <w:ilvl w:val="0"/>
                <w:numId w:val="16"/>
              </w:numPr>
              <w:ind w:left="-4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здійснення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планування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професійного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державного органу</w:t>
            </w:r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2C3078">
            <w:pPr>
              <w:pStyle w:val="a5"/>
              <w:numPr>
                <w:ilvl w:val="0"/>
                <w:numId w:val="16"/>
              </w:numPr>
              <w:ind w:left="-4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надання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консультативної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допомоги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учасникам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оцінювання та здійснює заходи щодо організації оцінювання, у тому числі підготовку проектів наказів (розпоряджень) про проведення щорічного оцінювання, визначення результатів виконання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завдань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державними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службовцями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затвердження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висновку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оцінювання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результатів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діяльності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5D0BA9" w:rsidRDefault="005D0BA9" w:rsidP="005D0BA9">
            <w:pPr>
              <w:pStyle w:val="a5"/>
              <w:numPr>
                <w:ilvl w:val="0"/>
                <w:numId w:val="16"/>
              </w:numPr>
              <w:ind w:left="-4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складання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разом </w:t>
            </w:r>
            <w:proofErr w:type="spellStart"/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державним</w:t>
            </w:r>
            <w:proofErr w:type="spellEnd"/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службовцем</w:t>
            </w:r>
            <w:proofErr w:type="spellEnd"/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індивідуальної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програми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підвищення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рівня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професійної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компетентності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результатами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оцінювання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його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діяльності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; </w:t>
            </w:r>
          </w:p>
          <w:p w:rsidR="005D0BA9" w:rsidRDefault="005D0BA9" w:rsidP="005D0BA9">
            <w:pPr>
              <w:pStyle w:val="a5"/>
              <w:numPr>
                <w:ilvl w:val="0"/>
                <w:numId w:val="16"/>
              </w:numPr>
              <w:ind w:left="-4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здійснення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</w:t>
            </w:r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бліку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кредитів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ЄКТС за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кожним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видом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профес</w:t>
            </w:r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ійного</w:t>
            </w:r>
            <w:proofErr w:type="spellEnd"/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навчання</w:t>
            </w:r>
            <w:proofErr w:type="spellEnd"/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шляхом </w:t>
            </w:r>
            <w:proofErr w:type="spellStart"/>
            <w:r w:rsidR="0070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внесення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відомостей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нараховані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кредити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ЄКТС до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особової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картки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державного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службовця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5D0BA9" w:rsidRPr="005D0BA9" w:rsidRDefault="005D0BA9" w:rsidP="005D0BA9">
            <w:pPr>
              <w:pStyle w:val="a5"/>
              <w:numPr>
                <w:ilvl w:val="0"/>
                <w:numId w:val="17"/>
              </w:numPr>
              <w:ind w:left="0" w:hanging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Підготовка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забезпечення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вчасного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звітності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територіального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управління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Державної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судової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адміністрації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України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</w:p>
          <w:p w:rsidR="005D0BA9" w:rsidRPr="005D0BA9" w:rsidRDefault="005D0BA9" w:rsidP="005D0BA9">
            <w:pPr>
              <w:pStyle w:val="a5"/>
              <w:numPr>
                <w:ilvl w:val="0"/>
                <w:numId w:val="16"/>
              </w:numPr>
              <w:ind w:left="-4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ведення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підготовка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звітно-аналітичної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інформації, підготовка державної статистичної звітності та аналізів з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кадрових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: 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штатну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фактичну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чисельність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середньооблікову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чисельність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працюючих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про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гендерний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склад суду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апарату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 та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інші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5D0BA9" w:rsidRPr="005D0BA9" w:rsidRDefault="005D0BA9" w:rsidP="005D0BA9">
            <w:pPr>
              <w:pStyle w:val="aa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D0B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5. Забезпечення та контроль за розвитком інформаційних </w:t>
            </w:r>
            <w:proofErr w:type="spellStart"/>
            <w:r w:rsidRPr="005D0B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зв’язків</w:t>
            </w:r>
            <w:proofErr w:type="spellEnd"/>
            <w:r w:rsidRPr="005D0B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між судом та відвідувачами суду, органами державної влади, підприємствами, установами та організаціями, засобами масової інформації (далі - ЗМІ), сприяє формуванню об’єктивної громадської думки про діяльність суду:</w:t>
            </w:r>
          </w:p>
          <w:p w:rsidR="005D0BA9" w:rsidRPr="0076400A" w:rsidRDefault="005D0BA9" w:rsidP="005D0BA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контроль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підготовки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відповідей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запити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ЗМІ, матеріалів, спрямованих на спростування публікацій, в яких висвітлено недостовірну інформацію, забезпечує оперативне реагування на запити та критичні публікації, на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звернення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розгляді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запитів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інформ</w:t>
            </w:r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ацію</w:t>
            </w:r>
            <w:proofErr w:type="spellEnd"/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5D0BA9" w:rsidRPr="0076400A" w:rsidRDefault="005D0BA9" w:rsidP="005D0BA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контроль підготовки матеріалів та </w:t>
            </w:r>
            <w:proofErr w:type="spellStart"/>
            <w:r w:rsidRP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проєктів</w:t>
            </w:r>
            <w:proofErr w:type="spellEnd"/>
            <w:r w:rsidRP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текстів статей для розміщення їх у національних, регіональних та місцевих друкованих ЗМІ, а також Інтернет-ресурсах та проектів доповідей, довідок та інших матеріалі</w:t>
            </w:r>
            <w:r w:rsidR="0076400A" w:rsidRP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 для виступів керівництва суду</w:t>
            </w:r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5D0BA9" w:rsidRPr="0076400A" w:rsidRDefault="005D0BA9" w:rsidP="005D0BA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координує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інтерв’ю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суддями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працівниками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суду з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суду, </w:t>
            </w:r>
            <w:proofErr w:type="spellStart"/>
            <w:r w:rsidRPr="005D0B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організац</w:t>
            </w:r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ійного</w:t>
            </w:r>
            <w:proofErr w:type="spellEnd"/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судочинства</w:t>
            </w:r>
            <w:proofErr w:type="spellEnd"/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5D0BA9" w:rsidRPr="0076400A" w:rsidRDefault="005D0BA9" w:rsidP="005D0BA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контроль підготовки прес-релізів, матеріалів для прес-конференцій, аудіовізуальних презентацій із використанням комп’ютерних технологій щодо діяльності суду направляє в ЗМІ прес-релізи та копії офіційних документів, анонсування подій і </w:t>
            </w:r>
            <w:r w:rsidRP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заходів, програм і планів суду за попереднім погод</w:t>
            </w:r>
            <w:r w:rsidR="0076400A" w:rsidRP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женням із керівництвом суду</w:t>
            </w:r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5D0BA9" w:rsidRPr="005D0BA9" w:rsidRDefault="005D0BA9" w:rsidP="0076400A">
            <w:pPr>
              <w:ind w:left="-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координація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підготовки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погодженням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керівництвом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планів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заходів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оперативного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інформування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громадськості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ЗМІ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стосовно</w:t>
            </w:r>
            <w:proofErr w:type="spellEnd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розгляду</w:t>
            </w:r>
            <w:proofErr w:type="spellEnd"/>
            <w:r w:rsid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76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резонансних судових справ;</w:t>
            </w:r>
          </w:p>
          <w:p w:rsidR="005D0BA9" w:rsidRPr="0076400A" w:rsidRDefault="005D0BA9" w:rsidP="005D0BA9">
            <w:pPr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забезпечення підготовки аналітичної та іншої інформації щодо взаємодії суду з громадськістю і ЗМІ</w:t>
            </w:r>
            <w:r w:rsidR="0076400A" w:rsidRP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011E8" w:rsidRDefault="007011E8" w:rsidP="005D0BA9">
            <w:pPr>
              <w:ind w:left="-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6.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Забезпечення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виконання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необхідне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дотримання правил охорони праці та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протипожежної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безпеки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дотримання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працівниками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 правил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внутрішнього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трудового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розпорядку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7011E8" w:rsidRPr="007011E8" w:rsidRDefault="007011E8" w:rsidP="005D0BA9">
            <w:pPr>
              <w:ind w:left="-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7.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Виконує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інші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доручення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голови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суду та керівника апарату суду та у разі відсутності керівника апарату, у зв’язку з відпусткою, хворобою та іншими причинами, виконує його обов’язки визначені посадовою інструкцією та іншими організаційно-розпорядчими документами.</w:t>
            </w:r>
          </w:p>
        </w:tc>
      </w:tr>
      <w:tr w:rsidR="00475DDB" w:rsidRPr="00812B0F" w:rsidTr="000F09BC">
        <w:trPr>
          <w:gridAfter w:val="1"/>
          <w:wAfter w:w="10" w:type="dxa"/>
        </w:trPr>
        <w:tc>
          <w:tcPr>
            <w:tcW w:w="2909" w:type="dxa"/>
            <w:gridSpan w:val="2"/>
          </w:tcPr>
          <w:p w:rsidR="00475DDB" w:rsidRPr="00E07536" w:rsidRDefault="00475DDB" w:rsidP="00475DDB">
            <w:pPr>
              <w:rPr>
                <w:rFonts w:ascii="Times New Roman" w:hAnsi="Times New Roman" w:cs="Times New Roman"/>
                <w:b/>
              </w:rPr>
            </w:pPr>
            <w:r w:rsidRPr="007011E8">
              <w:rPr>
                <w:rFonts w:ascii="Times New Roman" w:hAnsi="Times New Roman" w:cs="Times New Roman"/>
                <w:b/>
                <w:sz w:val="24"/>
              </w:rPr>
              <w:lastRenderedPageBreak/>
              <w:t>Умови оплати праці</w:t>
            </w:r>
          </w:p>
        </w:tc>
        <w:tc>
          <w:tcPr>
            <w:tcW w:w="7221" w:type="dxa"/>
          </w:tcPr>
          <w:p w:rsidR="007011E8" w:rsidRPr="007011E8" w:rsidRDefault="007011E8" w:rsidP="007011E8">
            <w:pPr>
              <w:pStyle w:val="aa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011E8">
              <w:rPr>
                <w:rFonts w:ascii="Times New Roman" w:hAnsi="Times New Roman"/>
                <w:sz w:val="24"/>
              </w:rPr>
              <w:t>Посадовий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оклад – 1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11E8">
              <w:rPr>
                <w:rFonts w:ascii="Times New Roman" w:hAnsi="Times New Roman"/>
                <w:sz w:val="24"/>
              </w:rPr>
              <w:t xml:space="preserve">00,00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гривень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відповідно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до постанови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Кабінету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Міністрів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України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24.05.2017 № 358 "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Деякі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питання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оплати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праці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державних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службовців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органів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установ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системи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правосуддя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>";</w:t>
            </w:r>
          </w:p>
          <w:p w:rsidR="00475DDB" w:rsidRPr="00E07536" w:rsidRDefault="007011E8" w:rsidP="007011E8">
            <w:pPr>
              <w:pStyle w:val="aa"/>
              <w:numPr>
                <w:ilvl w:val="0"/>
                <w:numId w:val="19"/>
              </w:numPr>
              <w:ind w:left="-40" w:firstLine="425"/>
              <w:jc w:val="both"/>
            </w:pPr>
            <w:r w:rsidRPr="007011E8">
              <w:rPr>
                <w:rFonts w:ascii="Times New Roman" w:hAnsi="Times New Roman"/>
                <w:sz w:val="24"/>
              </w:rPr>
              <w:t xml:space="preserve">Надбавки, доплати та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премії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відповідно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до статей 50, 52 Закону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України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"Про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державну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службу"</w:t>
            </w:r>
            <w:r w:rsidR="00475DDB" w:rsidRPr="007011E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75DDB" w:rsidRPr="00812B0F" w:rsidTr="000F09BC">
        <w:trPr>
          <w:gridAfter w:val="1"/>
          <w:wAfter w:w="10" w:type="dxa"/>
        </w:trPr>
        <w:tc>
          <w:tcPr>
            <w:tcW w:w="2909" w:type="dxa"/>
            <w:gridSpan w:val="2"/>
          </w:tcPr>
          <w:p w:rsidR="00475DDB" w:rsidRPr="00E07536" w:rsidRDefault="00475DDB" w:rsidP="00475DDB">
            <w:pPr>
              <w:rPr>
                <w:rFonts w:ascii="Times New Roman" w:hAnsi="Times New Roman" w:cs="Times New Roman"/>
                <w:b/>
              </w:rPr>
            </w:pPr>
            <w:r w:rsidRPr="00A26F23">
              <w:rPr>
                <w:rFonts w:ascii="Times New Roman" w:hAnsi="Times New Roman" w:cs="Times New Roman"/>
                <w:b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1" w:type="dxa"/>
          </w:tcPr>
          <w:p w:rsidR="007011E8" w:rsidRPr="007011E8" w:rsidRDefault="007011E8" w:rsidP="007011E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Строкове призначення (на період дії карантину та до дня визначення суб’єктом призначення переможця за результатами конкурсного відбору відповідно до законодавства).</w:t>
            </w:r>
          </w:p>
          <w:p w:rsidR="00475DDB" w:rsidRPr="007011E8" w:rsidRDefault="007011E8" w:rsidP="007011E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України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гострої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респіраторної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хвороби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COVID-19,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спричиненої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коронавірусом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SARS-CoV-2.</w:t>
            </w:r>
          </w:p>
        </w:tc>
      </w:tr>
      <w:tr w:rsidR="007011E8" w:rsidRPr="00812B0F" w:rsidTr="000F09BC">
        <w:trPr>
          <w:gridAfter w:val="1"/>
          <w:wAfter w:w="10" w:type="dxa"/>
        </w:trPr>
        <w:tc>
          <w:tcPr>
            <w:tcW w:w="2909" w:type="dxa"/>
            <w:gridSpan w:val="2"/>
          </w:tcPr>
          <w:p w:rsidR="007011E8" w:rsidRPr="00E07536" w:rsidRDefault="007011E8" w:rsidP="007011E8">
            <w:pPr>
              <w:rPr>
                <w:rFonts w:ascii="Times New Roman" w:hAnsi="Times New Roman" w:cs="Times New Roman"/>
                <w:b/>
              </w:rPr>
            </w:pPr>
            <w:r w:rsidRPr="00A26F23">
              <w:rPr>
                <w:rFonts w:ascii="Times New Roman" w:hAnsi="Times New Roman" w:cs="Times New Roman"/>
                <w:b/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21" w:type="dxa"/>
          </w:tcPr>
          <w:p w:rsidR="007011E8" w:rsidRPr="007011E8" w:rsidRDefault="007011E8" w:rsidP="007011E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Особа, яка бажає взяти участь у доборі з призначенням на вакантну посаду, подає через Єдиний портал вакансій державної служби:</w:t>
            </w:r>
          </w:p>
          <w:p w:rsidR="007011E8" w:rsidRPr="007011E8" w:rsidRDefault="007011E8" w:rsidP="007011E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1.Заяву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України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гострої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респіраторної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хвороби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COVID-19,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спричиненої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коронавірусом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SARS-CoV-2,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затвердженого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постановою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Кабінету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Міністрів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України від 22.04.2020 №290  (далі-Порядок);</w:t>
            </w:r>
          </w:p>
          <w:p w:rsidR="007011E8" w:rsidRPr="007011E8" w:rsidRDefault="007011E8" w:rsidP="007011E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2.Резюме за формою згідно з додатком 2 до Порядку;</w:t>
            </w:r>
          </w:p>
          <w:p w:rsidR="007011E8" w:rsidRPr="007011E8" w:rsidRDefault="007011E8" w:rsidP="007011E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3.Заяву,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011E8" w:rsidRPr="007011E8" w:rsidRDefault="007011E8" w:rsidP="007011E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компетенцій, репутації (характеристики, рекомендації, наукові публікації тощо)</w:t>
            </w:r>
          </w:p>
          <w:p w:rsidR="007011E8" w:rsidRPr="007011E8" w:rsidRDefault="007011E8" w:rsidP="007011E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На електроні документи, що подаються для участі у доборі, накладається кваліфікований електронний підпис особи, яка бажає взяти участь у доборі.</w:t>
            </w:r>
          </w:p>
          <w:p w:rsidR="007011E8" w:rsidRPr="007011E8" w:rsidRDefault="007011E8" w:rsidP="007011E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lastRenderedPageBreak/>
              <w:t>Інформація подається через Єдиний портал вакансій державної служби (до 17-00 год. 0</w:t>
            </w:r>
            <w:r w:rsidR="00A26F23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1</w:t>
            </w:r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="00A26F23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грудня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2020 року).</w:t>
            </w:r>
          </w:p>
          <w:p w:rsidR="007011E8" w:rsidRPr="007011E8" w:rsidRDefault="007011E8" w:rsidP="00A26F23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Останній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день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подання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інформації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– 0</w:t>
            </w:r>
            <w:r w:rsidR="00A26F23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1 </w:t>
            </w:r>
            <w:proofErr w:type="spellStart"/>
            <w:r w:rsidR="00A26F23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грудня</w:t>
            </w:r>
            <w:proofErr w:type="spellEnd"/>
            <w:r w:rsidRPr="007011E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2020 року.</w:t>
            </w:r>
          </w:p>
        </w:tc>
      </w:tr>
      <w:tr w:rsidR="00475DDB" w:rsidRPr="00E07536" w:rsidTr="000F09BC">
        <w:trPr>
          <w:gridAfter w:val="1"/>
          <w:wAfter w:w="10" w:type="dxa"/>
        </w:trPr>
        <w:tc>
          <w:tcPr>
            <w:tcW w:w="2909" w:type="dxa"/>
            <w:gridSpan w:val="2"/>
          </w:tcPr>
          <w:p w:rsidR="00475DDB" w:rsidRPr="00A26F23" w:rsidRDefault="00475DDB" w:rsidP="00475D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6F23">
              <w:rPr>
                <w:rFonts w:ascii="Times New Roman" w:hAnsi="Times New Roman" w:cs="Times New Roman"/>
                <w:b/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75DDB" w:rsidRPr="00E07536" w:rsidRDefault="00475DDB" w:rsidP="00475D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1" w:type="dxa"/>
          </w:tcPr>
          <w:p w:rsidR="00475DDB" w:rsidRPr="00E07536" w:rsidRDefault="00475DDB" w:rsidP="00475DDB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Бащук Олена  Миколаївна           </w:t>
            </w:r>
          </w:p>
          <w:p w:rsidR="00475DDB" w:rsidRPr="00E07536" w:rsidRDefault="00475DDB" w:rsidP="00475DDB">
            <w:pPr>
              <w:rPr>
                <w:rFonts w:ascii="Times New Roman" w:hAnsi="Times New Roman" w:cs="Times New Roman"/>
              </w:rPr>
            </w:pPr>
            <w:proofErr w:type="spellStart"/>
            <w:r w:rsidRPr="00E07536">
              <w:rPr>
                <w:rFonts w:ascii="Times New Roman" w:hAnsi="Times New Roman" w:cs="Times New Roman"/>
              </w:rPr>
              <w:t>тел</w:t>
            </w:r>
            <w:proofErr w:type="spellEnd"/>
            <w:r w:rsidRPr="00E07536">
              <w:rPr>
                <w:rFonts w:ascii="Times New Roman" w:hAnsi="Times New Roman" w:cs="Times New Roman"/>
              </w:rPr>
              <w:t>. (0332) 773 314</w:t>
            </w:r>
          </w:p>
          <w:p w:rsidR="00475DDB" w:rsidRPr="00E07536" w:rsidRDefault="00475DDB" w:rsidP="00475DDB">
            <w:pPr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        098 67 93 844                    </w:t>
            </w:r>
            <w:r w:rsidRPr="00E07536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E07536">
              <w:rPr>
                <w:rFonts w:ascii="Times New Roman" w:hAnsi="Times New Roman" w:cs="Times New Roman"/>
              </w:rPr>
              <w:t>mail</w:t>
            </w:r>
            <w:proofErr w:type="spellEnd"/>
            <w:r w:rsidRPr="00E07536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E07536">
                <w:rPr>
                  <w:rStyle w:val="a4"/>
                  <w:rFonts w:ascii="Times New Roman" w:hAnsi="Times New Roman" w:cs="Times New Roman"/>
                  <w:color w:val="auto"/>
                </w:rPr>
                <w:t>inbox@vl.court.gov.ua</w:t>
              </w:r>
            </w:hyperlink>
          </w:p>
        </w:tc>
      </w:tr>
      <w:tr w:rsidR="00475DDB" w:rsidRPr="00E07536" w:rsidTr="006E460A">
        <w:tc>
          <w:tcPr>
            <w:tcW w:w="10140" w:type="dxa"/>
            <w:gridSpan w:val="4"/>
          </w:tcPr>
          <w:p w:rsidR="00475DDB" w:rsidRPr="00E07536" w:rsidRDefault="00A26F23" w:rsidP="00475D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6F23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475DDB" w:rsidRPr="00A26F23">
              <w:rPr>
                <w:rFonts w:ascii="Times New Roman" w:hAnsi="Times New Roman" w:cs="Times New Roman"/>
                <w:b/>
                <w:sz w:val="24"/>
              </w:rPr>
              <w:t>имоги</w:t>
            </w:r>
          </w:p>
        </w:tc>
      </w:tr>
      <w:tr w:rsidR="00475DDB" w:rsidRPr="00E07536" w:rsidTr="000F09BC">
        <w:trPr>
          <w:gridAfter w:val="1"/>
          <w:wAfter w:w="10" w:type="dxa"/>
        </w:trPr>
        <w:tc>
          <w:tcPr>
            <w:tcW w:w="522" w:type="dxa"/>
          </w:tcPr>
          <w:p w:rsidR="00475DDB" w:rsidRPr="00E07536" w:rsidRDefault="00475DDB" w:rsidP="00475D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475DDB" w:rsidRPr="0076400A" w:rsidRDefault="00475DDB" w:rsidP="00475D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6400A">
              <w:rPr>
                <w:rFonts w:ascii="Times New Roman" w:hAnsi="Times New Roman" w:cs="Times New Roman"/>
                <w:b/>
                <w:sz w:val="24"/>
              </w:rPr>
              <w:t>Освіта</w:t>
            </w:r>
          </w:p>
        </w:tc>
        <w:tc>
          <w:tcPr>
            <w:tcW w:w="7221" w:type="dxa"/>
          </w:tcPr>
          <w:p w:rsidR="00475DDB" w:rsidRPr="009E7132" w:rsidRDefault="0076400A" w:rsidP="0076400A">
            <w:pPr>
              <w:pStyle w:val="a8"/>
              <w:jc w:val="both"/>
              <w:rPr>
                <w:sz w:val="22"/>
                <w:szCs w:val="22"/>
              </w:rPr>
            </w:pPr>
            <w:r w:rsidRPr="00090AFD">
              <w:rPr>
                <w:color w:val="000000"/>
              </w:rPr>
              <w:t>Вища юридична або економічна освіта або вища освіта в галузі державного управління з освітньо-</w:t>
            </w:r>
            <w:r>
              <w:rPr>
                <w:color w:val="000000"/>
              </w:rPr>
              <w:t>кваліфікаційним рівнем магістра.</w:t>
            </w:r>
            <w:r w:rsidRPr="00090AFD">
              <w:rPr>
                <w:color w:val="000000"/>
              </w:rPr>
              <w:t xml:space="preserve"> </w:t>
            </w:r>
          </w:p>
        </w:tc>
      </w:tr>
      <w:tr w:rsidR="00475DDB" w:rsidRPr="00E07536" w:rsidTr="000F09BC">
        <w:trPr>
          <w:gridAfter w:val="1"/>
          <w:wAfter w:w="10" w:type="dxa"/>
        </w:trPr>
        <w:tc>
          <w:tcPr>
            <w:tcW w:w="522" w:type="dxa"/>
          </w:tcPr>
          <w:p w:rsidR="00475DDB" w:rsidRPr="00E07536" w:rsidRDefault="00475DDB" w:rsidP="00475D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475DDB" w:rsidRPr="0076400A" w:rsidRDefault="00475DDB" w:rsidP="00475D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6400A">
              <w:rPr>
                <w:rFonts w:ascii="Times New Roman" w:hAnsi="Times New Roman" w:cs="Times New Roman"/>
                <w:b/>
                <w:sz w:val="24"/>
              </w:rPr>
              <w:t>Досвід роботи</w:t>
            </w:r>
          </w:p>
        </w:tc>
        <w:tc>
          <w:tcPr>
            <w:tcW w:w="7221" w:type="dxa"/>
          </w:tcPr>
          <w:p w:rsidR="00475DDB" w:rsidRPr="0076400A" w:rsidRDefault="0076400A" w:rsidP="00475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освід роботи на посадах державної служби категорії "Б" і "В" або досвід роботи на керівних посадах підприємств, установ, організацій незалежно від форми власності не менше одного року</w:t>
            </w:r>
          </w:p>
        </w:tc>
      </w:tr>
      <w:tr w:rsidR="00475DDB" w:rsidRPr="00E07536" w:rsidTr="000F09BC">
        <w:trPr>
          <w:gridAfter w:val="1"/>
          <w:wAfter w:w="10" w:type="dxa"/>
          <w:trHeight w:val="1721"/>
        </w:trPr>
        <w:tc>
          <w:tcPr>
            <w:tcW w:w="522" w:type="dxa"/>
          </w:tcPr>
          <w:p w:rsidR="00475DDB" w:rsidRPr="00E07536" w:rsidRDefault="00475DDB" w:rsidP="00475D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475DDB" w:rsidRPr="0076400A" w:rsidRDefault="00475DDB" w:rsidP="00475D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400A">
              <w:rPr>
                <w:rFonts w:ascii="Times New Roman" w:hAnsi="Times New Roman" w:cs="Times New Roman"/>
                <w:b/>
                <w:sz w:val="24"/>
              </w:rPr>
              <w:t>Володіння державною мовою</w:t>
            </w:r>
          </w:p>
        </w:tc>
        <w:tc>
          <w:tcPr>
            <w:tcW w:w="7221" w:type="dxa"/>
          </w:tcPr>
          <w:p w:rsidR="00475DDB" w:rsidRPr="00E07536" w:rsidRDefault="00475DDB" w:rsidP="00475DDB">
            <w:pPr>
              <w:jc w:val="both"/>
              <w:rPr>
                <w:rFonts w:ascii="Times New Roman" w:hAnsi="Times New Roman" w:cs="Times New Roman"/>
              </w:rPr>
            </w:pPr>
            <w:r w:rsidRPr="0076400A">
              <w:rPr>
                <w:rFonts w:ascii="Times New Roman" w:hAnsi="Times New Roman" w:cs="Times New Roman"/>
                <w:sz w:val="24"/>
              </w:rPr>
              <w:t>Вільне володіння державною мовою</w:t>
            </w:r>
          </w:p>
        </w:tc>
      </w:tr>
      <w:tr w:rsidR="006C2EA6" w:rsidRPr="00E07536" w:rsidTr="000F09BC">
        <w:trPr>
          <w:gridAfter w:val="1"/>
          <w:wAfter w:w="10" w:type="dxa"/>
          <w:trHeight w:val="1721"/>
        </w:trPr>
        <w:tc>
          <w:tcPr>
            <w:tcW w:w="522" w:type="dxa"/>
          </w:tcPr>
          <w:p w:rsidR="006C2EA6" w:rsidRPr="00E07536" w:rsidRDefault="006C2EA6" w:rsidP="00475D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6C2EA6" w:rsidRPr="0076400A" w:rsidRDefault="006C2EA6" w:rsidP="00475D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400A">
              <w:rPr>
                <w:rFonts w:ascii="Times New Roman" w:hAnsi="Times New Roman" w:cs="Times New Roman"/>
                <w:b/>
                <w:sz w:val="24"/>
              </w:rPr>
              <w:t>Володіння іноземною мовою</w:t>
            </w:r>
          </w:p>
        </w:tc>
        <w:tc>
          <w:tcPr>
            <w:tcW w:w="7221" w:type="dxa"/>
          </w:tcPr>
          <w:p w:rsidR="006C2EA6" w:rsidRPr="00E07536" w:rsidRDefault="006C2EA6" w:rsidP="00475DDB">
            <w:pPr>
              <w:jc w:val="both"/>
              <w:rPr>
                <w:rFonts w:ascii="Times New Roman" w:hAnsi="Times New Roman" w:cs="Times New Roman"/>
              </w:rPr>
            </w:pPr>
            <w:r w:rsidRPr="0076400A">
              <w:rPr>
                <w:rFonts w:ascii="Times New Roman" w:hAnsi="Times New Roman" w:cs="Times New Roman"/>
                <w:sz w:val="24"/>
              </w:rPr>
              <w:t>Не вимагається</w:t>
            </w:r>
          </w:p>
        </w:tc>
      </w:tr>
      <w:tr w:rsidR="00475DDB" w:rsidRPr="00E07536" w:rsidTr="006E460A">
        <w:tc>
          <w:tcPr>
            <w:tcW w:w="10140" w:type="dxa"/>
            <w:gridSpan w:val="4"/>
          </w:tcPr>
          <w:p w:rsidR="00475DDB" w:rsidRPr="00E07536" w:rsidRDefault="00475DDB" w:rsidP="00475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5DDB" w:rsidRPr="00E07536" w:rsidRDefault="00475DDB" w:rsidP="00475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:rsidR="00475DDB" w:rsidRPr="00E07536" w:rsidRDefault="00475DDB" w:rsidP="00475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DB" w:rsidRPr="00E07536" w:rsidTr="000F09BC">
        <w:trPr>
          <w:gridAfter w:val="1"/>
          <w:wAfter w:w="10" w:type="dxa"/>
        </w:trPr>
        <w:tc>
          <w:tcPr>
            <w:tcW w:w="2909" w:type="dxa"/>
            <w:gridSpan w:val="2"/>
          </w:tcPr>
          <w:p w:rsidR="00475DDB" w:rsidRPr="00E07536" w:rsidRDefault="00475DDB" w:rsidP="00475DDB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Вимога</w:t>
            </w:r>
          </w:p>
        </w:tc>
        <w:tc>
          <w:tcPr>
            <w:tcW w:w="7221" w:type="dxa"/>
          </w:tcPr>
          <w:p w:rsidR="00475DDB" w:rsidRPr="00E07536" w:rsidRDefault="00475DDB" w:rsidP="00475DDB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Компоненти вимоги</w:t>
            </w:r>
          </w:p>
        </w:tc>
      </w:tr>
      <w:tr w:rsidR="006C2EA6" w:rsidRPr="00E07536" w:rsidTr="000F09BC">
        <w:trPr>
          <w:gridAfter w:val="1"/>
          <w:wAfter w:w="10" w:type="dxa"/>
        </w:trPr>
        <w:tc>
          <w:tcPr>
            <w:tcW w:w="522" w:type="dxa"/>
          </w:tcPr>
          <w:p w:rsidR="006C2EA6" w:rsidRPr="00E07536" w:rsidRDefault="006C2EA6" w:rsidP="006C2E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6C2EA6" w:rsidRPr="006C2EA6" w:rsidRDefault="006C2EA6" w:rsidP="006C2EA6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r w:rsidRPr="006C2EA6">
              <w:rPr>
                <w:b/>
                <w:lang w:val="uk-UA"/>
              </w:rPr>
              <w:t xml:space="preserve">Уміння працювати </w:t>
            </w:r>
          </w:p>
          <w:p w:rsidR="006C2EA6" w:rsidRPr="006C2EA6" w:rsidRDefault="006C2EA6" w:rsidP="006C2EA6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r w:rsidRPr="006C2EA6">
              <w:rPr>
                <w:b/>
                <w:lang w:val="uk-UA"/>
              </w:rPr>
              <w:t xml:space="preserve">з комп'ютером </w:t>
            </w:r>
          </w:p>
          <w:p w:rsidR="006C2EA6" w:rsidRPr="006C2EA6" w:rsidRDefault="006C2EA6" w:rsidP="006C2EA6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</w:p>
        </w:tc>
        <w:tc>
          <w:tcPr>
            <w:tcW w:w="7221" w:type="dxa"/>
          </w:tcPr>
          <w:p w:rsidR="006C2EA6" w:rsidRPr="00DA7CFD" w:rsidRDefault="006C2EA6" w:rsidP="006C2EA6">
            <w:pPr>
              <w:pStyle w:val="aa"/>
              <w:ind w:left="57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DA7CFD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- рівень досвідченого користувача Microsoft Office (Word, Excel); </w:t>
            </w:r>
          </w:p>
          <w:p w:rsidR="006C2EA6" w:rsidRPr="00DA7CFD" w:rsidRDefault="006C2EA6" w:rsidP="006C2EA6">
            <w:pPr>
              <w:pStyle w:val="aa"/>
              <w:ind w:left="57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DA7CFD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- навички роботи з інформаційно-пошуковими системами в мережі Інтернет;</w:t>
            </w:r>
          </w:p>
          <w:p w:rsidR="006C2EA6" w:rsidRPr="00DA7CFD" w:rsidRDefault="006C2EA6" w:rsidP="006C2EA6">
            <w:pPr>
              <w:pStyle w:val="aa"/>
              <w:ind w:left="57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DA7CFD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- знання сучасних технологій з електронного урядування, вільне користування системами інформаційно-правового забезпечення;</w:t>
            </w:r>
          </w:p>
          <w:p w:rsidR="006C2EA6" w:rsidRPr="00DA7CFD" w:rsidRDefault="006C2EA6" w:rsidP="006C2EA6">
            <w:pPr>
              <w:pStyle w:val="aa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CFD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- вільне користування автоматизованою системою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документообігу</w:t>
            </w:r>
            <w:r w:rsidRPr="00DA7CFD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суду, Єдиним державним реєстром судових рішень</w:t>
            </w:r>
          </w:p>
        </w:tc>
      </w:tr>
      <w:tr w:rsidR="0076400A" w:rsidRPr="00E07536" w:rsidTr="000F09BC">
        <w:trPr>
          <w:gridAfter w:val="1"/>
          <w:wAfter w:w="10" w:type="dxa"/>
        </w:trPr>
        <w:tc>
          <w:tcPr>
            <w:tcW w:w="522" w:type="dxa"/>
          </w:tcPr>
          <w:p w:rsidR="0076400A" w:rsidRPr="00E07536" w:rsidRDefault="0076400A" w:rsidP="006C2E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76400A" w:rsidRPr="006C2EA6" w:rsidRDefault="0076400A" w:rsidP="0076400A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r w:rsidRPr="0076400A">
              <w:rPr>
                <w:b/>
                <w:lang w:val="uk-UA"/>
              </w:rPr>
              <w:t>Управління організацією роботи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221" w:type="dxa"/>
          </w:tcPr>
          <w:p w:rsid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76400A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чітке бачення цілі;</w:t>
            </w:r>
          </w:p>
          <w:p w:rsid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76400A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ефективне управління ресурсами; </w:t>
            </w:r>
          </w:p>
          <w:p w:rsid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76400A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чітке планування реалізації; </w:t>
            </w:r>
          </w:p>
          <w:p w:rsidR="0076400A" w:rsidRPr="00DA7CFD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76400A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ефективне формування та управління ресурсами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6400A" w:rsidRPr="00E07536" w:rsidTr="000F09BC">
        <w:trPr>
          <w:gridAfter w:val="1"/>
          <w:wAfter w:w="10" w:type="dxa"/>
        </w:trPr>
        <w:tc>
          <w:tcPr>
            <w:tcW w:w="522" w:type="dxa"/>
          </w:tcPr>
          <w:p w:rsidR="0076400A" w:rsidRPr="00E07536" w:rsidRDefault="0076400A" w:rsidP="006C2E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76400A" w:rsidRPr="0076400A" w:rsidRDefault="0076400A" w:rsidP="0076400A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r w:rsidRPr="0076400A">
              <w:rPr>
                <w:b/>
                <w:lang w:val="uk-UA"/>
              </w:rPr>
              <w:t>Управління персоналом</w:t>
            </w:r>
          </w:p>
        </w:tc>
        <w:tc>
          <w:tcPr>
            <w:tcW w:w="7221" w:type="dxa"/>
          </w:tcPr>
          <w:p w:rsidR="0076400A" w:rsidRP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делегування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ресурсами; </w:t>
            </w:r>
          </w:p>
          <w:p w:rsidR="0076400A" w:rsidRP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мотивацією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наставництво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талантів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;</w:t>
            </w:r>
          </w:p>
          <w:p w:rsidR="0076400A" w:rsidRP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стимулювання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кома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ндної</w:t>
            </w:r>
            <w:proofErr w:type="spellEnd"/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0"/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rvts0"/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6400A" w:rsidRPr="00E07536" w:rsidTr="000F09BC">
        <w:trPr>
          <w:gridAfter w:val="1"/>
          <w:wAfter w:w="10" w:type="dxa"/>
        </w:trPr>
        <w:tc>
          <w:tcPr>
            <w:tcW w:w="522" w:type="dxa"/>
          </w:tcPr>
          <w:p w:rsidR="0076400A" w:rsidRPr="00E07536" w:rsidRDefault="0076400A" w:rsidP="006C2E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76400A" w:rsidRPr="0076400A" w:rsidRDefault="0076400A" w:rsidP="0076400A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r w:rsidRPr="0076400A">
              <w:rPr>
                <w:b/>
                <w:lang w:val="uk-UA"/>
              </w:rPr>
              <w:t>Досягнення результатів</w:t>
            </w:r>
          </w:p>
        </w:tc>
        <w:tc>
          <w:tcPr>
            <w:tcW w:w="7221" w:type="dxa"/>
          </w:tcPr>
          <w:p w:rsidR="0076400A" w:rsidRP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lang w:val="uk-UA"/>
              </w:rPr>
            </w:pPr>
            <w:r w:rsidRPr="0076400A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чіткого бачення результату діяльності; </w:t>
            </w:r>
          </w:p>
          <w:p w:rsidR="0076400A" w:rsidRP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lang w:val="uk-UA"/>
              </w:rPr>
            </w:pPr>
            <w:r w:rsidRPr="0076400A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вміння фокусувати зусилля для досягнення результату діяльності; </w:t>
            </w:r>
          </w:p>
          <w:p w:rsidR="0076400A" w:rsidRP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lang w:val="uk-UA"/>
              </w:rPr>
            </w:pPr>
            <w:r w:rsidRPr="0076400A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вміння запобігати та ефективно долати перешкоди; </w:t>
            </w:r>
          </w:p>
          <w:p w:rsid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lang w:val="uk-UA"/>
              </w:rPr>
            </w:pPr>
            <w:r w:rsidRPr="0076400A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навички планування своєї роботи; дисципліна та відповідал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ьність за виконання своїх задач.</w:t>
            </w:r>
          </w:p>
        </w:tc>
      </w:tr>
      <w:tr w:rsidR="0076400A" w:rsidRPr="00E07536" w:rsidTr="000F09BC">
        <w:trPr>
          <w:gridAfter w:val="1"/>
          <w:wAfter w:w="10" w:type="dxa"/>
        </w:trPr>
        <w:tc>
          <w:tcPr>
            <w:tcW w:w="522" w:type="dxa"/>
          </w:tcPr>
          <w:p w:rsidR="0076400A" w:rsidRPr="00E07536" w:rsidRDefault="0076400A" w:rsidP="006C2E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76400A" w:rsidRPr="0076400A" w:rsidRDefault="0076400A" w:rsidP="0076400A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proofErr w:type="spellStart"/>
            <w:r w:rsidRPr="0076400A">
              <w:rPr>
                <w:b/>
                <w:lang w:val="uk-UA"/>
              </w:rPr>
              <w:t>Стресостійкість</w:t>
            </w:r>
            <w:proofErr w:type="spellEnd"/>
          </w:p>
        </w:tc>
        <w:tc>
          <w:tcPr>
            <w:tcW w:w="7221" w:type="dxa"/>
          </w:tcPr>
          <w:p w:rsidR="0076400A" w:rsidRP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управляти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своїми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емоціями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400A" w:rsidRP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до самоконтролю</w:t>
            </w:r>
            <w:proofErr w:type="gram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400A" w:rsidRP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до конструктивного </w:t>
            </w:r>
            <w:proofErr w:type="spellStart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76400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до зворотного зв’язку, зокрема критики; </w:t>
            </w:r>
          </w:p>
          <w:p w:rsidR="0076400A" w:rsidRPr="0076400A" w:rsidRDefault="0076400A" w:rsidP="0076400A">
            <w:pPr>
              <w:pStyle w:val="aa"/>
              <w:numPr>
                <w:ilvl w:val="0"/>
                <w:numId w:val="16"/>
              </w:numP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rvts0"/>
                <w:rFonts w:ascii="Times New Roman" w:hAnsi="Times New Roman"/>
                <w:sz w:val="24"/>
                <w:szCs w:val="24"/>
              </w:rPr>
              <w:t>оптимізм</w:t>
            </w:r>
            <w:proofErr w:type="spellEnd"/>
            <w:r>
              <w:rPr>
                <w:rStyle w:val="rvts0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DDB" w:rsidRPr="00E07536" w:rsidTr="00F464EE">
        <w:trPr>
          <w:gridAfter w:val="1"/>
          <w:wAfter w:w="10" w:type="dxa"/>
        </w:trPr>
        <w:tc>
          <w:tcPr>
            <w:tcW w:w="10130" w:type="dxa"/>
            <w:gridSpan w:val="3"/>
          </w:tcPr>
          <w:p w:rsidR="00475DDB" w:rsidRPr="00E07536" w:rsidRDefault="00475DDB" w:rsidP="00475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5DDB" w:rsidRPr="00E07536" w:rsidRDefault="00475DDB" w:rsidP="00475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:rsidR="00475DDB" w:rsidRPr="00E07536" w:rsidRDefault="00475DDB" w:rsidP="00475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DDB" w:rsidRPr="00E07536" w:rsidTr="000F09BC">
        <w:trPr>
          <w:gridAfter w:val="1"/>
          <w:wAfter w:w="10" w:type="dxa"/>
        </w:trPr>
        <w:tc>
          <w:tcPr>
            <w:tcW w:w="522" w:type="dxa"/>
          </w:tcPr>
          <w:p w:rsidR="00475DDB" w:rsidRPr="00E07536" w:rsidRDefault="00475DDB" w:rsidP="00475D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475DDB" w:rsidRPr="00E07536" w:rsidRDefault="00475DDB" w:rsidP="00475D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законодавства</w:t>
            </w:r>
          </w:p>
        </w:tc>
        <w:tc>
          <w:tcPr>
            <w:tcW w:w="7221" w:type="dxa"/>
          </w:tcPr>
          <w:p w:rsidR="00475DDB" w:rsidRPr="00E07536" w:rsidRDefault="00475DDB" w:rsidP="00475DDB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1) Конституція України;</w:t>
            </w:r>
          </w:p>
          <w:p w:rsidR="00475DDB" w:rsidRPr="00E07536" w:rsidRDefault="00475DDB" w:rsidP="00475DDB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2) Закон України «Про державну службу»; </w:t>
            </w:r>
          </w:p>
          <w:p w:rsidR="00475DDB" w:rsidRPr="00E07536" w:rsidRDefault="00475DDB" w:rsidP="00475DDB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3) Закон України «Про запобігання корупції».</w:t>
            </w:r>
          </w:p>
          <w:p w:rsidR="00475DDB" w:rsidRPr="00E07536" w:rsidRDefault="00475DDB" w:rsidP="00475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5DDB" w:rsidRPr="00E07536" w:rsidTr="000F09BC">
        <w:trPr>
          <w:gridAfter w:val="1"/>
          <w:wAfter w:w="10" w:type="dxa"/>
        </w:trPr>
        <w:tc>
          <w:tcPr>
            <w:tcW w:w="522" w:type="dxa"/>
          </w:tcPr>
          <w:p w:rsidR="00475DDB" w:rsidRPr="00E07536" w:rsidRDefault="00475DDB" w:rsidP="00475D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475DDB" w:rsidRPr="00E07536" w:rsidRDefault="00475DDB" w:rsidP="00475D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спеціального законодавства</w:t>
            </w:r>
          </w:p>
        </w:tc>
        <w:tc>
          <w:tcPr>
            <w:tcW w:w="7221" w:type="dxa"/>
          </w:tcPr>
          <w:p w:rsidR="000C2FFD" w:rsidRDefault="000C2FFD" w:rsidP="00475DD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Кодекс законів про працю України;</w:t>
            </w:r>
          </w:p>
          <w:p w:rsidR="00475DDB" w:rsidRDefault="00475DDB" w:rsidP="00475DD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Закон України «Про судоустрій і статус суддів»;</w:t>
            </w:r>
          </w:p>
          <w:p w:rsidR="00475DDB" w:rsidRDefault="00475DDB" w:rsidP="00475DD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захист персональних даних»</w:t>
            </w:r>
          </w:p>
          <w:p w:rsidR="00475DDB" w:rsidRDefault="00475DDB" w:rsidP="00475DD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звернення громадян»;</w:t>
            </w:r>
          </w:p>
          <w:p w:rsidR="00475DDB" w:rsidRDefault="00475DDB" w:rsidP="00475DD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доступ до публічної інформації»</w:t>
            </w:r>
            <w:r w:rsidR="000C2FFD">
              <w:rPr>
                <w:rFonts w:ascii="Times New Roman" w:hAnsi="Times New Roman" w:cs="Times New Roman"/>
              </w:rPr>
              <w:t>;</w:t>
            </w:r>
          </w:p>
          <w:p w:rsidR="000C2FFD" w:rsidRPr="00E07536" w:rsidRDefault="000C2FFD" w:rsidP="00475DD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охорону праці».</w:t>
            </w:r>
          </w:p>
          <w:p w:rsidR="00475DDB" w:rsidRPr="00E07536" w:rsidRDefault="00475DDB" w:rsidP="0076400A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3E5B" w:rsidRPr="00E07536" w:rsidRDefault="008B3E5B" w:rsidP="007D0B54">
      <w:pPr>
        <w:jc w:val="both"/>
        <w:rPr>
          <w:rFonts w:ascii="Times New Roman" w:hAnsi="Times New Roman" w:cs="Times New Roman"/>
        </w:rPr>
      </w:pPr>
    </w:p>
    <w:sectPr w:rsidR="008B3E5B" w:rsidRPr="00E07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3056B5A"/>
    <w:multiLevelType w:val="hybridMultilevel"/>
    <w:tmpl w:val="37BA5D34"/>
    <w:lvl w:ilvl="0" w:tplc="4746AE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6D52"/>
    <w:multiLevelType w:val="hybridMultilevel"/>
    <w:tmpl w:val="6E38C3BA"/>
    <w:lvl w:ilvl="0" w:tplc="EC9A93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96B"/>
    <w:multiLevelType w:val="hybridMultilevel"/>
    <w:tmpl w:val="81FC2186"/>
    <w:lvl w:ilvl="0" w:tplc="4746AE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1E3"/>
    <w:multiLevelType w:val="hybridMultilevel"/>
    <w:tmpl w:val="18CE0206"/>
    <w:lvl w:ilvl="0" w:tplc="5978E2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E0FA8"/>
    <w:multiLevelType w:val="hybridMultilevel"/>
    <w:tmpl w:val="D82C91CC"/>
    <w:lvl w:ilvl="0" w:tplc="EC9A935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042DC6"/>
    <w:multiLevelType w:val="singleLevel"/>
    <w:tmpl w:val="CE1A651E"/>
    <w:lvl w:ilvl="0">
      <w:start w:val="1"/>
      <w:numFmt w:val="decimal"/>
      <w:lvlText w:val="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367210"/>
    <w:multiLevelType w:val="hybridMultilevel"/>
    <w:tmpl w:val="464404FC"/>
    <w:lvl w:ilvl="0" w:tplc="EC9A93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F78FB"/>
    <w:multiLevelType w:val="hybridMultilevel"/>
    <w:tmpl w:val="D408C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144AA"/>
    <w:multiLevelType w:val="hybridMultilevel"/>
    <w:tmpl w:val="BC4AFC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D3256"/>
    <w:multiLevelType w:val="hybridMultilevel"/>
    <w:tmpl w:val="284899EE"/>
    <w:lvl w:ilvl="0" w:tplc="FF3AFDB8">
      <w:start w:val="4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40" w:hanging="360"/>
      </w:pPr>
    </w:lvl>
    <w:lvl w:ilvl="2" w:tplc="0422001B" w:tentative="1">
      <w:start w:val="1"/>
      <w:numFmt w:val="lowerRoman"/>
      <w:lvlText w:val="%3."/>
      <w:lvlJc w:val="right"/>
      <w:pPr>
        <w:ind w:left="1760" w:hanging="180"/>
      </w:pPr>
    </w:lvl>
    <w:lvl w:ilvl="3" w:tplc="0422000F" w:tentative="1">
      <w:start w:val="1"/>
      <w:numFmt w:val="decimal"/>
      <w:lvlText w:val="%4."/>
      <w:lvlJc w:val="left"/>
      <w:pPr>
        <w:ind w:left="2480" w:hanging="360"/>
      </w:pPr>
    </w:lvl>
    <w:lvl w:ilvl="4" w:tplc="04220019" w:tentative="1">
      <w:start w:val="1"/>
      <w:numFmt w:val="lowerLetter"/>
      <w:lvlText w:val="%5."/>
      <w:lvlJc w:val="left"/>
      <w:pPr>
        <w:ind w:left="3200" w:hanging="360"/>
      </w:pPr>
    </w:lvl>
    <w:lvl w:ilvl="5" w:tplc="0422001B" w:tentative="1">
      <w:start w:val="1"/>
      <w:numFmt w:val="lowerRoman"/>
      <w:lvlText w:val="%6."/>
      <w:lvlJc w:val="right"/>
      <w:pPr>
        <w:ind w:left="3920" w:hanging="180"/>
      </w:pPr>
    </w:lvl>
    <w:lvl w:ilvl="6" w:tplc="0422000F" w:tentative="1">
      <w:start w:val="1"/>
      <w:numFmt w:val="decimal"/>
      <w:lvlText w:val="%7."/>
      <w:lvlJc w:val="left"/>
      <w:pPr>
        <w:ind w:left="4640" w:hanging="360"/>
      </w:pPr>
    </w:lvl>
    <w:lvl w:ilvl="7" w:tplc="04220019" w:tentative="1">
      <w:start w:val="1"/>
      <w:numFmt w:val="lowerLetter"/>
      <w:lvlText w:val="%8."/>
      <w:lvlJc w:val="left"/>
      <w:pPr>
        <w:ind w:left="5360" w:hanging="360"/>
      </w:pPr>
    </w:lvl>
    <w:lvl w:ilvl="8" w:tplc="0422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6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25FFC"/>
    <w:multiLevelType w:val="hybridMultilevel"/>
    <w:tmpl w:val="BC4AFC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18"/>
  </w:num>
  <w:num w:numId="7">
    <w:abstractNumId w:val="1"/>
  </w:num>
  <w:num w:numId="8">
    <w:abstractNumId w:val="14"/>
  </w:num>
  <w:num w:numId="9">
    <w:abstractNumId w:val="9"/>
  </w:num>
  <w:num w:numId="10">
    <w:abstractNumId w:val="10"/>
  </w:num>
  <w:num w:numId="11">
    <w:abstractNumId w:val="17"/>
  </w:num>
  <w:num w:numId="12">
    <w:abstractNumId w:val="3"/>
  </w:num>
  <w:num w:numId="13">
    <w:abstractNumId w:val="11"/>
  </w:num>
  <w:num w:numId="14">
    <w:abstractNumId w:val="7"/>
  </w:num>
  <w:num w:numId="15">
    <w:abstractNumId w:val="5"/>
  </w:num>
  <w:num w:numId="16">
    <w:abstractNumId w:val="2"/>
  </w:num>
  <w:num w:numId="17">
    <w:abstractNumId w:val="1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712F7"/>
    <w:rsid w:val="0007428E"/>
    <w:rsid w:val="000B00FF"/>
    <w:rsid w:val="000C196D"/>
    <w:rsid w:val="000C2FFD"/>
    <w:rsid w:val="000E1C81"/>
    <w:rsid w:val="000E4577"/>
    <w:rsid w:val="000F09BC"/>
    <w:rsid w:val="00127F0B"/>
    <w:rsid w:val="001B1FB4"/>
    <w:rsid w:val="001B787E"/>
    <w:rsid w:val="001D0336"/>
    <w:rsid w:val="001D3D14"/>
    <w:rsid w:val="001D5C62"/>
    <w:rsid w:val="001D5DF9"/>
    <w:rsid w:val="001F43DC"/>
    <w:rsid w:val="0020354D"/>
    <w:rsid w:val="00225201"/>
    <w:rsid w:val="00250928"/>
    <w:rsid w:val="00255A83"/>
    <w:rsid w:val="00272EE1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F237A"/>
    <w:rsid w:val="0040205F"/>
    <w:rsid w:val="00454FD8"/>
    <w:rsid w:val="004632C1"/>
    <w:rsid w:val="00475DDB"/>
    <w:rsid w:val="00491609"/>
    <w:rsid w:val="00496163"/>
    <w:rsid w:val="0049673F"/>
    <w:rsid w:val="004A6DB3"/>
    <w:rsid w:val="004B2FDA"/>
    <w:rsid w:val="004C1BE0"/>
    <w:rsid w:val="004F7101"/>
    <w:rsid w:val="004F771E"/>
    <w:rsid w:val="00507049"/>
    <w:rsid w:val="00541D10"/>
    <w:rsid w:val="00543731"/>
    <w:rsid w:val="005469C6"/>
    <w:rsid w:val="00564796"/>
    <w:rsid w:val="0056617A"/>
    <w:rsid w:val="00581809"/>
    <w:rsid w:val="005D0BA9"/>
    <w:rsid w:val="005D2664"/>
    <w:rsid w:val="005E387B"/>
    <w:rsid w:val="0060663E"/>
    <w:rsid w:val="006329BC"/>
    <w:rsid w:val="00654AF0"/>
    <w:rsid w:val="00697810"/>
    <w:rsid w:val="006A3D02"/>
    <w:rsid w:val="006B1479"/>
    <w:rsid w:val="006B1AB7"/>
    <w:rsid w:val="006C2EA6"/>
    <w:rsid w:val="006D0519"/>
    <w:rsid w:val="006E460A"/>
    <w:rsid w:val="00700B47"/>
    <w:rsid w:val="007011E8"/>
    <w:rsid w:val="007320E2"/>
    <w:rsid w:val="00743B94"/>
    <w:rsid w:val="00756887"/>
    <w:rsid w:val="0076400A"/>
    <w:rsid w:val="00765986"/>
    <w:rsid w:val="0076660C"/>
    <w:rsid w:val="00775AEB"/>
    <w:rsid w:val="007906D0"/>
    <w:rsid w:val="007A4664"/>
    <w:rsid w:val="007B01E7"/>
    <w:rsid w:val="007D0B54"/>
    <w:rsid w:val="007E12B0"/>
    <w:rsid w:val="007E31C7"/>
    <w:rsid w:val="00810CE7"/>
    <w:rsid w:val="00812B0F"/>
    <w:rsid w:val="00831C23"/>
    <w:rsid w:val="008658C8"/>
    <w:rsid w:val="00882A0D"/>
    <w:rsid w:val="008845C1"/>
    <w:rsid w:val="00891234"/>
    <w:rsid w:val="00892A99"/>
    <w:rsid w:val="008A6792"/>
    <w:rsid w:val="008B0590"/>
    <w:rsid w:val="008B3E5B"/>
    <w:rsid w:val="008C01FF"/>
    <w:rsid w:val="008F1007"/>
    <w:rsid w:val="008F66C7"/>
    <w:rsid w:val="00906EAE"/>
    <w:rsid w:val="00926E71"/>
    <w:rsid w:val="0094140A"/>
    <w:rsid w:val="00952AA7"/>
    <w:rsid w:val="00977176"/>
    <w:rsid w:val="0099653D"/>
    <w:rsid w:val="00997343"/>
    <w:rsid w:val="009C1586"/>
    <w:rsid w:val="009E31E8"/>
    <w:rsid w:val="00A26967"/>
    <w:rsid w:val="00A26F23"/>
    <w:rsid w:val="00A6462C"/>
    <w:rsid w:val="00A70D35"/>
    <w:rsid w:val="00AA6C8C"/>
    <w:rsid w:val="00AD41F6"/>
    <w:rsid w:val="00AE3619"/>
    <w:rsid w:val="00AE414E"/>
    <w:rsid w:val="00B02933"/>
    <w:rsid w:val="00B07F64"/>
    <w:rsid w:val="00B1468F"/>
    <w:rsid w:val="00B4353D"/>
    <w:rsid w:val="00BA56E3"/>
    <w:rsid w:val="00BC330F"/>
    <w:rsid w:val="00BD306D"/>
    <w:rsid w:val="00BD6543"/>
    <w:rsid w:val="00BF22B5"/>
    <w:rsid w:val="00C01CE9"/>
    <w:rsid w:val="00C20991"/>
    <w:rsid w:val="00C431CE"/>
    <w:rsid w:val="00C71558"/>
    <w:rsid w:val="00C72B14"/>
    <w:rsid w:val="00C73AF9"/>
    <w:rsid w:val="00C83EBB"/>
    <w:rsid w:val="00C97F8C"/>
    <w:rsid w:val="00D01A51"/>
    <w:rsid w:val="00D03E0B"/>
    <w:rsid w:val="00D72162"/>
    <w:rsid w:val="00D73608"/>
    <w:rsid w:val="00D90D46"/>
    <w:rsid w:val="00DA54C4"/>
    <w:rsid w:val="00DB2180"/>
    <w:rsid w:val="00DB5CEC"/>
    <w:rsid w:val="00DC195E"/>
    <w:rsid w:val="00DC6907"/>
    <w:rsid w:val="00DD169F"/>
    <w:rsid w:val="00E07536"/>
    <w:rsid w:val="00E20A18"/>
    <w:rsid w:val="00E23FCA"/>
    <w:rsid w:val="00E2537D"/>
    <w:rsid w:val="00E26941"/>
    <w:rsid w:val="00E335E5"/>
    <w:rsid w:val="00E52077"/>
    <w:rsid w:val="00E6778F"/>
    <w:rsid w:val="00E8607F"/>
    <w:rsid w:val="00EB595D"/>
    <w:rsid w:val="00ED6F28"/>
    <w:rsid w:val="00EF5900"/>
    <w:rsid w:val="00F2379B"/>
    <w:rsid w:val="00F5026C"/>
    <w:rsid w:val="00F52BF7"/>
    <w:rsid w:val="00F67689"/>
    <w:rsid w:val="00F80148"/>
    <w:rsid w:val="00FA2ADB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54FD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Без интервала"/>
    <w:aliases w:val="основной текст,Без интервала1"/>
    <w:link w:val="a9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ной текст Знак"/>
    <w:basedOn w:val="a0"/>
    <w:link w:val="a8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6C2E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nhideWhenUsed/>
    <w:rsid w:val="006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vl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8932</Words>
  <Characters>5092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5</cp:revision>
  <cp:lastPrinted>2020-11-25T14:24:00Z</cp:lastPrinted>
  <dcterms:created xsi:type="dcterms:W3CDTF">2020-11-25T12:19:00Z</dcterms:created>
  <dcterms:modified xsi:type="dcterms:W3CDTF">2020-11-26T09:25:00Z</dcterms:modified>
</cp:coreProperties>
</file>