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Додаток 1</w:t>
      </w:r>
    </w:p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93483C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№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DF4">
        <w:rPr>
          <w:rFonts w:ascii="Times New Roman" w:hAnsi="Times New Roman" w:cs="Times New Roman"/>
          <w:sz w:val="24"/>
          <w:szCs w:val="24"/>
          <w:u w:val="single"/>
        </w:rPr>
        <w:t xml:space="preserve"> 69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E52077">
        <w:rPr>
          <w:rFonts w:ascii="Times New Roman" w:hAnsi="Times New Roman" w:cs="Times New Roman"/>
          <w:sz w:val="24"/>
          <w:szCs w:val="24"/>
          <w:u w:val="single"/>
        </w:rPr>
        <w:t>01-0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E52077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27CA7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057C8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8623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8538B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0F09BC" w:rsidRPr="0093483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7906D0" w:rsidRPr="00E52077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0E1C81" w:rsidRPr="00E52077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75885" w:rsidRPr="00E52077" w:rsidRDefault="000E1C81" w:rsidP="00275885">
      <w:pPr>
        <w:jc w:val="center"/>
        <w:rPr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 xml:space="preserve">на зайняття 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>вакантної посади д</w:t>
      </w:r>
      <w:r w:rsidR="00057C8D">
        <w:rPr>
          <w:rFonts w:ascii="Times New Roman" w:hAnsi="Times New Roman" w:cs="Times New Roman"/>
          <w:b/>
          <w:sz w:val="24"/>
          <w:szCs w:val="24"/>
        </w:rPr>
        <w:t>ержавного службовця категорії «В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57C8D">
        <w:rPr>
          <w:rFonts w:ascii="Times New Roman" w:hAnsi="Times New Roman" w:cs="Times New Roman"/>
          <w:b/>
          <w:sz w:val="24"/>
          <w:szCs w:val="24"/>
        </w:rPr>
        <w:t>головного спеціаліста</w:t>
      </w:r>
      <w:r w:rsidR="00275885">
        <w:rPr>
          <w:rFonts w:ascii="Times New Roman" w:hAnsi="Times New Roman" w:cs="Times New Roman"/>
          <w:b/>
          <w:sz w:val="24"/>
          <w:szCs w:val="24"/>
        </w:rPr>
        <w:t xml:space="preserve"> відділу</w:t>
      </w:r>
      <w:r w:rsidR="0056565E">
        <w:rPr>
          <w:rFonts w:ascii="Times New Roman" w:hAnsi="Times New Roman" w:cs="Times New Roman"/>
          <w:b/>
          <w:sz w:val="24"/>
          <w:szCs w:val="24"/>
        </w:rPr>
        <w:t xml:space="preserve"> з забезпечення</w:t>
      </w:r>
      <w:r w:rsidR="00275885">
        <w:rPr>
          <w:rFonts w:ascii="Times New Roman" w:hAnsi="Times New Roman" w:cs="Times New Roman"/>
          <w:b/>
          <w:sz w:val="24"/>
          <w:szCs w:val="24"/>
        </w:rPr>
        <w:t xml:space="preserve"> договірної та позовної роботи та роботи з персоналом територіального управління Державної судової адміністрації України в Волинській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275885" w:rsidRPr="00812B0F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</w:rPr>
              <w:t>Загальні умови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Посадові обов’язки </w:t>
            </w:r>
          </w:p>
        </w:tc>
        <w:tc>
          <w:tcPr>
            <w:tcW w:w="7221" w:type="dxa"/>
          </w:tcPr>
          <w:p w:rsidR="00D27CA7" w:rsidRDefault="00D27CA7" w:rsidP="00D27CA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Ведення встановленої звітно-облікової документації, підготовка відомчої звітності з кадрових питань.</w:t>
            </w:r>
          </w:p>
          <w:p w:rsidR="00D27CA7" w:rsidRDefault="00D27CA7" w:rsidP="00D27CA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ведення комп’ютерного обліку особових справ державних службовців територіального управління, супроводження і зберігання  відомостей.</w:t>
            </w:r>
          </w:p>
          <w:p w:rsidR="00D27CA7" w:rsidRDefault="00D27CA7" w:rsidP="00D27CA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проектів наказів начальника територіального управління з особового складу, про надання відпусток, </w:t>
            </w:r>
            <w:proofErr w:type="spellStart"/>
            <w:r>
              <w:rPr>
                <w:lang w:val="uk-UA"/>
              </w:rPr>
              <w:t>відряджень</w:t>
            </w:r>
            <w:proofErr w:type="spellEnd"/>
            <w:r>
              <w:rPr>
                <w:lang w:val="uk-UA"/>
              </w:rPr>
              <w:t xml:space="preserve"> працівників територіального управління та загальних питаннях.</w:t>
            </w:r>
          </w:p>
          <w:p w:rsidR="00D27CA7" w:rsidRDefault="00D27CA7" w:rsidP="00D27CA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заходів щодо проведення конкурсного відбору державних службовців.</w:t>
            </w:r>
          </w:p>
          <w:p w:rsidR="00D27CA7" w:rsidRDefault="00D27CA7" w:rsidP="00D27CA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перевірки відомостей стосовно осіб, які претендують на зайняття посад, що передбачають зайняття відповідального або особливо відповідального становища, та посад з підвищеним корупційним ризиком під час проведення спеціальної перевірки відповідно до Закону України "Про запобігання корупції".</w:t>
            </w:r>
          </w:p>
          <w:p w:rsidR="00D27CA7" w:rsidRDefault="00D27CA7" w:rsidP="00D27CA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виконання заходів щодо забезпечення охорони праці у територіальному управлінні.</w:t>
            </w:r>
          </w:p>
          <w:p w:rsidR="00D27CA7" w:rsidRDefault="00D27CA7" w:rsidP="00D27CA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 організації проведення роботи з підвищення кваліфікації кадрів.</w:t>
            </w:r>
          </w:p>
          <w:p w:rsidR="00D27CA7" w:rsidRDefault="00D27CA7" w:rsidP="00D27CA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 Представництво, в установленому законодавством порядку, інтересів територіального управління в судах та інших органах під час розгляду правових питань і спорів.</w:t>
            </w:r>
          </w:p>
          <w:p w:rsidR="00D27CA7" w:rsidRDefault="00D27CA7" w:rsidP="00D27CA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в установленому порядку доступу до публічної інформації, якою володіє територіальне управління Державної судової адміністрації України в Волинській області відповідно до Закону України «Про доступ до публічної інформації», робота із зверненнями громадян відповідно до Закону України «Про звернення громадян».</w:t>
            </w:r>
          </w:p>
          <w:p w:rsidR="00275885" w:rsidRPr="00057C8D" w:rsidRDefault="00D27CA7" w:rsidP="00D27CA7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Впровадження та реалізація заходів щодо запобігання та виявлення корупційних правопорушень та </w:t>
            </w:r>
            <w:proofErr w:type="spellStart"/>
            <w:r>
              <w:rPr>
                <w:lang w:val="uk-UA"/>
              </w:rPr>
              <w:t>провопорушень</w:t>
            </w:r>
            <w:proofErr w:type="spellEnd"/>
            <w:r>
              <w:rPr>
                <w:lang w:val="uk-UA"/>
              </w:rPr>
              <w:t>, пов’язаних з корупцією.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Умови оплати праці</w:t>
            </w:r>
          </w:p>
        </w:tc>
        <w:tc>
          <w:tcPr>
            <w:tcW w:w="7221" w:type="dxa"/>
          </w:tcPr>
          <w:p w:rsidR="00D8538B" w:rsidRPr="00CA3A36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057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5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,00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правосуддя";</w:t>
            </w:r>
          </w:p>
          <w:p w:rsidR="00275885" w:rsidRPr="00D8538B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8538B">
              <w:rPr>
                <w:rFonts w:ascii="Times New Roman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1" w:type="dxa"/>
          </w:tcPr>
          <w:p w:rsidR="00275885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Безстрокове</w:t>
            </w:r>
            <w:r w:rsidRPr="00E07536">
              <w:rPr>
                <w:rFonts w:ascii="Times New Roman" w:hAnsi="Times New Roman" w:cs="Times New Roman"/>
              </w:rPr>
              <w:t xml:space="preserve"> призначення.</w:t>
            </w:r>
          </w:p>
          <w:p w:rsidR="00057C8D" w:rsidRPr="00E07536" w:rsidRDefault="00057C8D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трок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особи, яка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досягла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65-річного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віку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становить один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рік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правом повторного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обов’язкового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конкурсу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щороку</w:t>
            </w:r>
            <w:proofErr w:type="spellEnd"/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0F09BC">
              <w:rPr>
                <w:rFonts w:ascii="Times New Roman" w:hAnsi="Times New Roman" w:cs="Times New Roman"/>
                <w:b/>
              </w:rPr>
              <w:t xml:space="preserve">Перелік інформації, необхідної для участі в </w:t>
            </w:r>
            <w:r w:rsidRPr="000F09BC">
              <w:rPr>
                <w:rFonts w:ascii="Times New Roman" w:hAnsi="Times New Roman" w:cs="Times New Roman"/>
                <w:b/>
              </w:rPr>
              <w:lastRenderedPageBreak/>
              <w:t>конкурсі, та строк її подання</w:t>
            </w:r>
          </w:p>
        </w:tc>
        <w:tc>
          <w:tcPr>
            <w:tcW w:w="7221" w:type="dxa"/>
          </w:tcPr>
          <w:p w:rsidR="00275885" w:rsidRDefault="00275885" w:rsidP="00BF0953">
            <w:pPr>
              <w:pStyle w:val="aa"/>
              <w:jc w:val="both"/>
              <w:rPr>
                <w:rFonts w:ascii="Times New Roman" w:hAnsi="Times New Roman"/>
              </w:rPr>
            </w:pPr>
            <w:r w:rsidRPr="000311C9">
              <w:rPr>
                <w:rFonts w:ascii="Times New Roman" w:eastAsiaTheme="minorHAnsi" w:hAnsi="Times New Roman"/>
              </w:rPr>
              <w:lastRenderedPageBreak/>
              <w:t xml:space="preserve">1)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F09BC">
              <w:rPr>
                <w:rFonts w:ascii="Times New Roman" w:hAnsi="Times New Roman"/>
              </w:rPr>
              <w:t>аява</w:t>
            </w:r>
            <w:proofErr w:type="spellEnd"/>
            <w:r w:rsidRPr="000F09BC">
              <w:rPr>
                <w:rFonts w:ascii="Times New Roman" w:hAnsi="Times New Roman"/>
              </w:rPr>
              <w:t xml:space="preserve"> про участь у </w:t>
            </w:r>
            <w:proofErr w:type="spellStart"/>
            <w:r w:rsidRPr="000F09BC">
              <w:rPr>
                <w:rFonts w:ascii="Times New Roman" w:hAnsi="Times New Roman"/>
              </w:rPr>
              <w:t>конкурсі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із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зазначенням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основних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мотивів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щодо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посади за формою </w:t>
            </w:r>
            <w:proofErr w:type="spellStart"/>
            <w:r w:rsidRPr="000F09BC">
              <w:rPr>
                <w:rFonts w:ascii="Times New Roman" w:hAnsi="Times New Roman"/>
              </w:rPr>
              <w:t>згідно</w:t>
            </w:r>
            <w:proofErr w:type="spellEnd"/>
            <w:r w:rsidRPr="000F09BC">
              <w:rPr>
                <w:rFonts w:ascii="Times New Roman" w:hAnsi="Times New Roman"/>
              </w:rPr>
              <w:t xml:space="preserve"> з </w:t>
            </w:r>
            <w:proofErr w:type="spellStart"/>
            <w:r w:rsidRPr="000F09BC">
              <w:rPr>
                <w:rFonts w:ascii="Times New Roman" w:hAnsi="Times New Roman"/>
              </w:rPr>
              <w:t>додатком</w:t>
            </w:r>
            <w:proofErr w:type="spellEnd"/>
            <w:r w:rsidRPr="000F09BC">
              <w:rPr>
                <w:rFonts w:ascii="Times New Roman" w:hAnsi="Times New Roman"/>
              </w:rPr>
              <w:t xml:space="preserve"> 2 до Порядку </w:t>
            </w:r>
            <w:proofErr w:type="spellStart"/>
            <w:r w:rsidRPr="000F09BC">
              <w:rPr>
                <w:rFonts w:ascii="Times New Roman" w:hAnsi="Times New Roman"/>
              </w:rPr>
              <w:t>проведення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r w:rsidRPr="000F09BC">
              <w:rPr>
                <w:rFonts w:ascii="Times New Roman" w:hAnsi="Times New Roman"/>
              </w:rPr>
              <w:lastRenderedPageBreak/>
              <w:t xml:space="preserve">конкурсу на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 </w:t>
            </w:r>
            <w:proofErr w:type="spellStart"/>
            <w:r w:rsidRPr="000F09BC">
              <w:rPr>
                <w:rFonts w:ascii="Times New Roman" w:hAnsi="Times New Roman"/>
              </w:rPr>
              <w:t>державної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служби</w:t>
            </w:r>
            <w:proofErr w:type="spellEnd"/>
            <w:r w:rsidRPr="000F09BC">
              <w:rPr>
                <w:rFonts w:ascii="Times New Roman" w:hAnsi="Times New Roman"/>
              </w:rPr>
              <w:t xml:space="preserve">, </w:t>
            </w:r>
            <w:proofErr w:type="spellStart"/>
            <w:r w:rsidRPr="000F09BC">
              <w:rPr>
                <w:rFonts w:ascii="Times New Roman" w:hAnsi="Times New Roman"/>
              </w:rPr>
              <w:t>затвердженого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постановою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Кабінету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Міністрів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України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від</w:t>
            </w:r>
            <w:proofErr w:type="spellEnd"/>
            <w:r w:rsidRPr="000F09BC">
              <w:rPr>
                <w:rFonts w:ascii="Times New Roman" w:hAnsi="Times New Roman"/>
              </w:rPr>
              <w:t xml:space="preserve"> 25 </w:t>
            </w:r>
            <w:proofErr w:type="spellStart"/>
            <w:r w:rsidRPr="000F09BC">
              <w:rPr>
                <w:rFonts w:ascii="Times New Roman" w:hAnsi="Times New Roman"/>
              </w:rPr>
              <w:t>березня</w:t>
            </w:r>
            <w:proofErr w:type="spellEnd"/>
            <w:r w:rsidRPr="000F09BC">
              <w:rPr>
                <w:rFonts w:ascii="Times New Roman" w:hAnsi="Times New Roman"/>
              </w:rPr>
              <w:t xml:space="preserve"> 2016 року № 246 (</w:t>
            </w:r>
            <w:proofErr w:type="spellStart"/>
            <w:r w:rsidRPr="000F09BC">
              <w:rPr>
                <w:rFonts w:ascii="Times New Roman" w:hAnsi="Times New Roman"/>
              </w:rPr>
              <w:t>зі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змінами</w:t>
            </w:r>
            <w:proofErr w:type="spellEnd"/>
            <w:r w:rsidRPr="000F09BC">
              <w:rPr>
                <w:rFonts w:ascii="Times New Roman" w:hAnsi="Times New Roman"/>
              </w:rPr>
              <w:t>) (</w:t>
            </w:r>
            <w:proofErr w:type="spellStart"/>
            <w:r w:rsidRPr="000F09BC">
              <w:rPr>
                <w:rFonts w:ascii="Times New Roman" w:hAnsi="Times New Roman"/>
              </w:rPr>
              <w:t>далі</w:t>
            </w:r>
            <w:proofErr w:type="spellEnd"/>
            <w:r w:rsidRPr="000F09BC">
              <w:rPr>
                <w:rFonts w:ascii="Times New Roman" w:hAnsi="Times New Roman"/>
              </w:rPr>
              <w:t xml:space="preserve"> – Порядок);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0" w:name="n1171"/>
            <w:bookmarkEnd w:id="0"/>
            <w:r w:rsidRPr="000311C9">
              <w:rPr>
                <w:rFonts w:ascii="Times New Roman" w:eastAsiaTheme="minorHAnsi" w:hAnsi="Times New Roman"/>
              </w:rPr>
              <w:t xml:space="preserve">2) </w:t>
            </w:r>
            <w:r>
              <w:rPr>
                <w:rFonts w:ascii="Times New Roman" w:eastAsiaTheme="minorHAnsi" w:hAnsi="Times New Roman"/>
                <w:lang w:val="uk-UA"/>
              </w:rPr>
              <w:t>Р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езюме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 формою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 </w:t>
            </w:r>
            <w:hyperlink r:id="rId5" w:anchor="n1039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додатком</w:t>
              </w:r>
              <w:proofErr w:type="spellEnd"/>
              <w:r w:rsidRPr="000311C9">
                <w:rPr>
                  <w:rFonts w:ascii="Times New Roman" w:eastAsiaTheme="minorHAnsi" w:hAnsi="Times New Roman"/>
                </w:rPr>
                <w:t xml:space="preserve"> 2</w:t>
              </w:r>
            </w:hyperlink>
            <w:hyperlink r:id="rId6" w:anchor="n1039" w:history="1">
              <w:r w:rsidRPr="000311C9">
                <w:rPr>
                  <w:rFonts w:ascii="Times New Roman" w:eastAsiaTheme="minorHAnsi" w:hAnsi="Times New Roman"/>
                </w:rPr>
                <w:t>-1</w:t>
              </w:r>
            </w:hyperlink>
            <w:r>
              <w:rPr>
                <w:rFonts w:ascii="Times New Roman" w:eastAsiaTheme="minorHAnsi" w:hAnsi="Times New Roman"/>
                <w:lang w:val="uk-UA"/>
              </w:rPr>
              <w:t xml:space="preserve"> до Порядку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якому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зазначається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така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інформація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: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1" w:name="n1172"/>
            <w:bookmarkEnd w:id="1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прізвище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ім’я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по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батькові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кандидата;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2" w:name="n1173"/>
            <w:bookmarkEnd w:id="2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реквізити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документа,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посвідчує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особу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громадянство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3" w:name="n1174"/>
            <w:bookmarkEnd w:id="3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ступеня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вищої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освіти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4" w:name="n1175"/>
            <w:bookmarkEnd w:id="4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рівня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вільного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володіння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державною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мовою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5" w:name="n1176"/>
            <w:bookmarkEnd w:id="5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про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державної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служби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(за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),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досвід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 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сфері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умовах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конкурсу,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керівних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</w:t>
            </w:r>
            <w:r>
              <w:rPr>
                <w:rFonts w:ascii="Times New Roman" w:eastAsiaTheme="minorHAnsi" w:hAnsi="Times New Roman"/>
                <w:lang w:val="uk-UA"/>
              </w:rPr>
              <w:t>;</w:t>
            </w:r>
            <w:r w:rsidRPr="000311C9">
              <w:rPr>
                <w:rFonts w:ascii="Times New Roman" w:eastAsiaTheme="minorHAnsi" w:hAnsi="Times New Roman"/>
              </w:rPr>
              <w:t xml:space="preserve"> 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6" w:name="n1446"/>
            <w:bookmarkEnd w:id="6"/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7" w:name="n1177"/>
            <w:bookmarkEnd w:id="7"/>
            <w:r w:rsidRPr="000311C9">
              <w:rPr>
                <w:rFonts w:ascii="Times New Roman" w:eastAsiaTheme="minorHAnsi" w:hAnsi="Times New Roman"/>
              </w:rPr>
              <w:t xml:space="preserve">3)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аяв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>а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uk-UA"/>
              </w:rPr>
              <w:t xml:space="preserve">особа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повідомляє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не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застосовуються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заборони,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частиною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7" w:anchor="n13" w:tgtFrame="_blank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третьою</w:t>
              </w:r>
              <w:proofErr w:type="spellEnd"/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або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8" w:anchor="n14" w:tgtFrame="_blank" w:history="1">
              <w:r w:rsidRPr="000311C9">
                <w:rPr>
                  <w:rFonts w:ascii="Times New Roman" w:eastAsiaTheme="minorHAnsi" w:hAnsi="Times New Roman"/>
                </w:rPr>
                <w:t>четвертою</w:t>
              </w:r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статті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1 Закону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“Про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очищення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влади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”,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надає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згоду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проходження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перевірки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оприлюднення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відомостей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стосовно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зазначеного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Закону.</w:t>
            </w:r>
          </w:p>
          <w:p w:rsidR="00275885" w:rsidRPr="000311C9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8" w:name="n1508"/>
            <w:bookmarkEnd w:id="8"/>
            <w:r w:rsidRPr="000311C9">
              <w:rPr>
                <w:rFonts w:ascii="Times New Roman" w:eastAsiaTheme="minorHAnsi" w:hAnsi="Times New Roman"/>
              </w:rPr>
              <w:t xml:space="preserve">Подача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додатків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заяви не є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275885" w:rsidRPr="000F09B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right="55"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09BC">
              <w:rPr>
                <w:rFonts w:eastAsiaTheme="minorHAnsi"/>
                <w:sz w:val="22"/>
                <w:szCs w:val="22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275885" w:rsidRPr="000F09B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9" w:name="n1182"/>
            <w:bookmarkEnd w:id="9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5885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  <w:r w:rsidRPr="000F09BC">
              <w:rPr>
                <w:rFonts w:ascii="Times New Roman" w:hAnsi="Times New Roman" w:cs="Times New Roman"/>
              </w:rPr>
              <w:t xml:space="preserve"> Інформація подається через Єдиний портал вакансій державної служби НАДС до </w:t>
            </w:r>
            <w:r w:rsidR="00D27CA7">
              <w:rPr>
                <w:rFonts w:ascii="Times New Roman" w:hAnsi="Times New Roman" w:cs="Times New Roman"/>
              </w:rPr>
              <w:t>24</w:t>
            </w:r>
            <w:r w:rsidRPr="00D8538B">
              <w:rPr>
                <w:rFonts w:ascii="Times New Roman" w:hAnsi="Times New Roman" w:cs="Times New Roman"/>
              </w:rPr>
              <w:t xml:space="preserve"> </w:t>
            </w:r>
            <w:r w:rsidR="00786232">
              <w:rPr>
                <w:rFonts w:ascii="Times New Roman" w:hAnsi="Times New Roman" w:cs="Times New Roman"/>
              </w:rPr>
              <w:t>червня</w:t>
            </w:r>
            <w:r w:rsidRPr="00D8538B">
              <w:rPr>
                <w:rFonts w:ascii="Times New Roman" w:hAnsi="Times New Roman" w:cs="Times New Roman"/>
              </w:rPr>
              <w:t xml:space="preserve"> 202</w:t>
            </w:r>
            <w:r w:rsidR="00D8538B" w:rsidRPr="00D8538B">
              <w:rPr>
                <w:rFonts w:ascii="Times New Roman" w:hAnsi="Times New Roman" w:cs="Times New Roman"/>
              </w:rPr>
              <w:t>1</w:t>
            </w:r>
            <w:r w:rsidR="00C95DDB">
              <w:rPr>
                <w:rFonts w:ascii="Times New Roman" w:hAnsi="Times New Roman" w:cs="Times New Roman"/>
              </w:rPr>
              <w:t xml:space="preserve"> року 17.00</w:t>
            </w:r>
            <w:bookmarkStart w:id="10" w:name="_GoBack"/>
            <w:bookmarkEnd w:id="10"/>
            <w:r w:rsidR="00057C8D">
              <w:rPr>
                <w:rFonts w:ascii="Times New Roman" w:hAnsi="Times New Roman" w:cs="Times New Roman"/>
              </w:rPr>
              <w:t xml:space="preserve"> год.</w:t>
            </w:r>
          </w:p>
          <w:p w:rsidR="00275885" w:rsidRPr="000F09BC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DA7CFD" w:rsidRDefault="00275885" w:rsidP="00BF0953">
            <w:pPr>
              <w:pStyle w:val="rvps14"/>
              <w:spacing w:before="0" w:beforeAutospacing="0" w:after="0" w:afterAutospacing="0"/>
              <w:ind w:left="57"/>
              <w:rPr>
                <w:spacing w:val="-2"/>
              </w:rPr>
            </w:pP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Додаткові (необов'язкові) </w:t>
            </w: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документи</w:t>
            </w:r>
          </w:p>
        </w:tc>
        <w:tc>
          <w:tcPr>
            <w:tcW w:w="7221" w:type="dxa"/>
          </w:tcPr>
          <w:p w:rsidR="00275885" w:rsidRPr="00DA7CFD" w:rsidRDefault="00275885" w:rsidP="00BF0953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</w:rPr>
            </w:pPr>
            <w:r>
              <w:rPr>
                <w:rStyle w:val="rvts0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</w:t>
            </w:r>
            <w:hyperlink r:id="rId9" w:anchor="n201" w:history="1">
              <w:r w:rsidRPr="000311C9">
                <w:rPr>
                  <w:rStyle w:val="rvts0"/>
                </w:rPr>
                <w:t>додатком 3</w:t>
              </w:r>
            </w:hyperlink>
            <w:r>
              <w:rPr>
                <w:rStyle w:val="rvts0"/>
              </w:rPr>
              <w:t xml:space="preserve"> Порядку.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Дата і час початку проведення тестування кандидатів.</w:t>
            </w:r>
          </w:p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Місце або спосіб проведення тестування.</w:t>
            </w:r>
          </w:p>
          <w:p w:rsidR="00057C8D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Місце або спосіб проведення співбесіди </w:t>
            </w:r>
          </w:p>
          <w:p w:rsidR="00057C8D" w:rsidRPr="00896FF5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75885" w:rsidRPr="006C2EA6" w:rsidRDefault="00057C8D" w:rsidP="00057C8D">
            <w:pPr>
              <w:ind w:left="25"/>
              <w:rPr>
                <w:rFonts w:ascii="Times New Roman" w:hAnsi="Times New Roman" w:cs="Times New Roman"/>
                <w:b/>
              </w:rPr>
            </w:pPr>
            <w:r w:rsidRPr="00057C8D">
              <w:rPr>
                <w:rFonts w:ascii="Times New Roman" w:hAnsi="Times New Roman" w:cs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7221" w:type="dxa"/>
          </w:tcPr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D8538B" w:rsidRDefault="00275885" w:rsidP="00057C8D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</w:t>
            </w:r>
            <w:r w:rsidR="00D27CA7">
              <w:rPr>
                <w:rFonts w:ascii="Times New Roman" w:hAnsi="Times New Roman" w:cs="Times New Roman"/>
              </w:rPr>
              <w:t>29</w:t>
            </w:r>
            <w:r w:rsidR="00057C8D" w:rsidRPr="00057C8D">
              <w:rPr>
                <w:rFonts w:ascii="Times New Roman" w:hAnsi="Times New Roman" w:cs="Times New Roman"/>
              </w:rPr>
              <w:t xml:space="preserve"> </w:t>
            </w:r>
            <w:r w:rsidR="00786232">
              <w:rPr>
                <w:rFonts w:ascii="Times New Roman" w:hAnsi="Times New Roman" w:cs="Times New Roman"/>
              </w:rPr>
              <w:t>червня</w:t>
            </w:r>
            <w:r w:rsidR="00057C8D" w:rsidRPr="00057C8D">
              <w:rPr>
                <w:rFonts w:ascii="Times New Roman" w:hAnsi="Times New Roman" w:cs="Times New Roman"/>
              </w:rPr>
              <w:t xml:space="preserve"> 2021 року, початок о 1</w:t>
            </w:r>
            <w:r w:rsidR="00057C8D" w:rsidRPr="00057C8D">
              <w:rPr>
                <w:rFonts w:ascii="Times New Roman" w:hAnsi="Times New Roman" w:cs="Times New Roman"/>
                <w:lang w:val="ru-RU"/>
              </w:rPr>
              <w:t>0</w:t>
            </w:r>
            <w:r w:rsidR="00057C8D" w:rsidRPr="00057C8D">
              <w:rPr>
                <w:rFonts w:ascii="Times New Roman" w:hAnsi="Times New Roman" w:cs="Times New Roman"/>
              </w:rPr>
              <w:t xml:space="preserve"> год.</w:t>
            </w: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тестування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D8538B">
              <w:rPr>
                <w:rFonts w:ascii="Times New Roman" w:hAnsi="Times New Roman" w:cs="Times New Roman"/>
              </w:rPr>
              <w:t>, 1</w:t>
            </w: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275885" w:rsidRPr="00E07536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E07536">
              <w:rPr>
                <w:rFonts w:ascii="Times New Roman" w:hAnsi="Times New Roman" w:cs="Times New Roman"/>
                <w:b/>
              </w:rPr>
              <w:lastRenderedPageBreak/>
              <w:t>питань проведення конкурсу</w:t>
            </w:r>
          </w:p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1" w:type="dxa"/>
          </w:tcPr>
          <w:p w:rsidR="00275885" w:rsidRPr="00E07536" w:rsidRDefault="00786232" w:rsidP="00BF09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Трофимчук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Юрій Ігорович</w:t>
            </w:r>
          </w:p>
          <w:p w:rsidR="00275885" w:rsidRPr="00E07536" w:rsidRDefault="00786232" w:rsidP="00BF0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spellEnd"/>
            <w:r>
              <w:rPr>
                <w:rFonts w:ascii="Times New Roman" w:hAnsi="Times New Roman" w:cs="Times New Roman"/>
              </w:rPr>
              <w:t>. (0332) 773 315</w:t>
            </w:r>
          </w:p>
          <w:p w:rsidR="00275885" w:rsidRPr="00E07536" w:rsidRDefault="00275885" w:rsidP="00786232">
            <w:pPr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         e-</w:t>
            </w:r>
            <w:proofErr w:type="spellStart"/>
            <w:r w:rsidRPr="00E07536">
              <w:rPr>
                <w:rFonts w:ascii="Times New Roman" w:hAnsi="Times New Roman" w:cs="Times New Roman"/>
              </w:rPr>
              <w:t>mail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E07536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275885" w:rsidRPr="00E07536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Освіта</w:t>
            </w:r>
          </w:p>
        </w:tc>
        <w:tc>
          <w:tcPr>
            <w:tcW w:w="7221" w:type="dxa"/>
          </w:tcPr>
          <w:p w:rsidR="00275885" w:rsidRDefault="00275885" w:rsidP="00BF0953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E7132">
              <w:rPr>
                <w:sz w:val="22"/>
                <w:szCs w:val="22"/>
              </w:rPr>
              <w:t xml:space="preserve">ища </w:t>
            </w:r>
            <w:r>
              <w:rPr>
                <w:sz w:val="22"/>
                <w:szCs w:val="22"/>
              </w:rPr>
              <w:t xml:space="preserve">юридична </w:t>
            </w:r>
            <w:r w:rsidRPr="009E7132">
              <w:rPr>
                <w:sz w:val="22"/>
                <w:szCs w:val="22"/>
              </w:rPr>
              <w:t>освіта</w:t>
            </w:r>
            <w:r>
              <w:rPr>
                <w:sz w:val="22"/>
                <w:szCs w:val="22"/>
              </w:rPr>
              <w:t>, або в галузі державного управління</w:t>
            </w:r>
            <w:r w:rsidRPr="009E7132">
              <w:rPr>
                <w:sz w:val="22"/>
                <w:szCs w:val="22"/>
              </w:rPr>
              <w:t xml:space="preserve"> з освітнім ступенем</w:t>
            </w:r>
            <w:r w:rsidR="00B75009">
              <w:rPr>
                <w:sz w:val="22"/>
                <w:szCs w:val="22"/>
              </w:rPr>
              <w:t xml:space="preserve"> не нижче</w:t>
            </w:r>
            <w:r w:rsidRPr="009E7132">
              <w:rPr>
                <w:sz w:val="22"/>
                <w:szCs w:val="22"/>
              </w:rPr>
              <w:t xml:space="preserve"> </w:t>
            </w:r>
            <w:r w:rsidR="00057C8D">
              <w:rPr>
                <w:sz w:val="22"/>
                <w:szCs w:val="22"/>
              </w:rPr>
              <w:t>бакалавра, молодшого бакалавра</w:t>
            </w:r>
            <w:r w:rsidR="00B75009">
              <w:rPr>
                <w:sz w:val="22"/>
                <w:szCs w:val="22"/>
              </w:rPr>
              <w:t>.</w:t>
            </w:r>
            <w:r w:rsidRPr="009E7132">
              <w:rPr>
                <w:sz w:val="22"/>
                <w:szCs w:val="22"/>
              </w:rPr>
              <w:t xml:space="preserve"> </w:t>
            </w:r>
          </w:p>
          <w:p w:rsidR="00275885" w:rsidRPr="009E7132" w:rsidRDefault="00275885" w:rsidP="00BF0953">
            <w:pPr>
              <w:pStyle w:val="a8"/>
              <w:jc w:val="both"/>
              <w:rPr>
                <w:sz w:val="22"/>
                <w:szCs w:val="22"/>
              </w:rPr>
            </w:pP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Досвід роботи</w:t>
            </w:r>
          </w:p>
        </w:tc>
        <w:tc>
          <w:tcPr>
            <w:tcW w:w="7221" w:type="dxa"/>
          </w:tcPr>
          <w:p w:rsidR="00275885" w:rsidRPr="00E07536" w:rsidRDefault="00B75009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</w:t>
            </w:r>
          </w:p>
        </w:tc>
      </w:tr>
      <w:tr w:rsidR="00275885" w:rsidRPr="00E07536" w:rsidTr="003C5B89">
        <w:trPr>
          <w:gridAfter w:val="1"/>
          <w:wAfter w:w="10" w:type="dxa"/>
          <w:trHeight w:val="604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Володіння державною мовою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275885" w:rsidRPr="00E07536" w:rsidTr="003C5B89">
        <w:trPr>
          <w:gridAfter w:val="1"/>
          <w:wAfter w:w="10" w:type="dxa"/>
          <w:trHeight w:val="728"/>
        </w:trPr>
        <w:tc>
          <w:tcPr>
            <w:tcW w:w="522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Вільне володіння іноземною мовою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вимагається.</w:t>
            </w:r>
          </w:p>
        </w:tc>
      </w:tr>
      <w:tr w:rsidR="00275885" w:rsidRPr="00E07536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85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Вимога</w:t>
            </w:r>
          </w:p>
        </w:tc>
        <w:tc>
          <w:tcPr>
            <w:tcW w:w="7221" w:type="dxa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Компоненти вимоги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93483C" w:rsidRPr="006C2EA6" w:rsidRDefault="0093483C" w:rsidP="0093483C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>
              <w:rPr>
                <w:lang w:val="uk-UA"/>
              </w:rPr>
              <w:t>Аналітичні здібності</w:t>
            </w:r>
          </w:p>
        </w:tc>
        <w:tc>
          <w:tcPr>
            <w:tcW w:w="7221" w:type="dxa"/>
          </w:tcPr>
          <w:p w:rsidR="0093483C" w:rsidRDefault="0093483C" w:rsidP="0093483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93483C" w:rsidRDefault="0093483C" w:rsidP="0093483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93483C" w:rsidRPr="00DA7CFD" w:rsidRDefault="0093483C" w:rsidP="0093483C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93483C" w:rsidRPr="00B74EBF" w:rsidRDefault="0093483C" w:rsidP="0093483C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 w:rsidRPr="00B74EBF">
              <w:rPr>
                <w:lang w:val="uk-UA"/>
              </w:rPr>
              <w:t>Орієнтація на професійний розвиток</w:t>
            </w:r>
          </w:p>
        </w:tc>
        <w:tc>
          <w:tcPr>
            <w:tcW w:w="7221" w:type="dxa"/>
          </w:tcPr>
          <w:p w:rsidR="0093483C" w:rsidRPr="00EE1991" w:rsidRDefault="0093483C" w:rsidP="0093483C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здатність до самовдосконалення в процесі виконання професійної діяльності;</w:t>
            </w:r>
          </w:p>
          <w:p w:rsidR="0093483C" w:rsidRPr="00EE1991" w:rsidRDefault="0093483C" w:rsidP="0093483C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:rsidR="0093483C" w:rsidRPr="00E07536" w:rsidRDefault="0093483C" w:rsidP="0093483C">
            <w:pPr>
              <w:pStyle w:val="ab"/>
              <w:numPr>
                <w:ilvl w:val="0"/>
                <w:numId w:val="7"/>
              </w:numPr>
            </w:pPr>
            <w:r>
              <w:rPr>
                <w:lang w:val="uk-UA"/>
              </w:rPr>
              <w:t xml:space="preserve">ініціативність щодо підвищення професійних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>, самовдосконалення, самоосвіти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93483C" w:rsidRPr="00271B2A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Відповідальність</w:t>
            </w:r>
          </w:p>
        </w:tc>
        <w:tc>
          <w:tcPr>
            <w:tcW w:w="7221" w:type="dxa"/>
          </w:tcPr>
          <w:p w:rsidR="0093483C" w:rsidRPr="00D16748" w:rsidRDefault="0093483C" w:rsidP="0093483C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3483C" w:rsidRPr="00D16748" w:rsidRDefault="0093483C" w:rsidP="0093483C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3483C" w:rsidRPr="00E07536" w:rsidRDefault="0093483C" w:rsidP="0093483C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10130" w:type="dxa"/>
            <w:gridSpan w:val="3"/>
          </w:tcPr>
          <w:p w:rsidR="0093483C" w:rsidRPr="00E07536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83C" w:rsidRPr="00E07536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93483C" w:rsidRPr="00E07536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221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1) Конституція України;</w:t>
            </w:r>
          </w:p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2) Закон України «Про державну службу»; </w:t>
            </w:r>
          </w:p>
          <w:p w:rsidR="0093483C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3) Закон Укр</w:t>
            </w:r>
            <w:r>
              <w:rPr>
                <w:rFonts w:ascii="Times New Roman" w:hAnsi="Times New Roman" w:cs="Times New Roman"/>
              </w:rPr>
              <w:t>аїни «Про запобігання корупції»;</w:t>
            </w:r>
          </w:p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483C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93483C" w:rsidRPr="00E07536" w:rsidRDefault="0093483C" w:rsidP="009348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221" w:type="dxa"/>
          </w:tcPr>
          <w:p w:rsidR="003C5B89" w:rsidRDefault="003C5B89" w:rsidP="003C5B8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Кодекс Законів про працю України;</w:t>
            </w:r>
          </w:p>
          <w:p w:rsidR="003C5B89" w:rsidRDefault="003C5B89" w:rsidP="003C5B8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Закон України «Про судоустрій і статус суддів»;</w:t>
            </w:r>
          </w:p>
          <w:p w:rsidR="003C5B89" w:rsidRDefault="003C5B89" w:rsidP="003C5B8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захист персональних даних»;</w:t>
            </w:r>
          </w:p>
          <w:p w:rsidR="003C5B89" w:rsidRDefault="003C5B89" w:rsidP="003C5B89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rvts23"/>
                <w:rFonts w:ascii="Times New Roman" w:hAnsi="Times New Roman" w:cs="Times New Roman"/>
              </w:rPr>
            </w:pPr>
            <w:r w:rsidRPr="00AB7981">
              <w:rPr>
                <w:rFonts w:ascii="Times New Roman" w:hAnsi="Times New Roman" w:cs="Times New Roman"/>
              </w:rPr>
              <w:t>Закон України «</w:t>
            </w:r>
            <w:r>
              <w:rPr>
                <w:rFonts w:ascii="Times New Roman" w:hAnsi="Times New Roman" w:cs="Times New Roman"/>
              </w:rPr>
              <w:t>Про доступ до публічної інформації»</w:t>
            </w:r>
          </w:p>
          <w:p w:rsidR="003C5B89" w:rsidRDefault="003C5B89" w:rsidP="003C5B89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звернення громадян»</w:t>
            </w:r>
          </w:p>
          <w:p w:rsidR="003C5B89" w:rsidRDefault="003C5B89" w:rsidP="003C5B89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відпустки»</w:t>
            </w:r>
          </w:p>
          <w:p w:rsidR="0093483C" w:rsidRPr="00E07536" w:rsidRDefault="003C5B89" w:rsidP="003C5B89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охорону праці»</w:t>
            </w:r>
          </w:p>
        </w:tc>
      </w:tr>
    </w:tbl>
    <w:p w:rsidR="008B3E5B" w:rsidRPr="00E07536" w:rsidRDefault="008B3E5B" w:rsidP="007D0B54">
      <w:pPr>
        <w:jc w:val="both"/>
        <w:rPr>
          <w:rFonts w:ascii="Times New Roman" w:hAnsi="Times New Roman" w:cs="Times New Roman"/>
        </w:rPr>
      </w:pPr>
    </w:p>
    <w:sectPr w:rsidR="008B3E5B" w:rsidRPr="00E07536" w:rsidSect="00B75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EE04BBB"/>
    <w:multiLevelType w:val="hybridMultilevel"/>
    <w:tmpl w:val="1E5E4184"/>
    <w:lvl w:ilvl="0" w:tplc="0422000F">
      <w:start w:val="1"/>
      <w:numFmt w:val="decimal"/>
      <w:lvlText w:val="%1."/>
      <w:lvlJc w:val="left"/>
      <w:pPr>
        <w:ind w:left="73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025" w:hanging="360"/>
      </w:pPr>
    </w:lvl>
    <w:lvl w:ilvl="2" w:tplc="0422001B" w:tentative="1">
      <w:start w:val="1"/>
      <w:numFmt w:val="lowerRoman"/>
      <w:lvlText w:val="%3."/>
      <w:lvlJc w:val="right"/>
      <w:pPr>
        <w:ind w:left="8745" w:hanging="180"/>
      </w:pPr>
    </w:lvl>
    <w:lvl w:ilvl="3" w:tplc="0422000F" w:tentative="1">
      <w:start w:val="1"/>
      <w:numFmt w:val="decimal"/>
      <w:lvlText w:val="%4."/>
      <w:lvlJc w:val="left"/>
      <w:pPr>
        <w:ind w:left="9465" w:hanging="360"/>
      </w:pPr>
    </w:lvl>
    <w:lvl w:ilvl="4" w:tplc="04220019" w:tentative="1">
      <w:start w:val="1"/>
      <w:numFmt w:val="lowerLetter"/>
      <w:lvlText w:val="%5."/>
      <w:lvlJc w:val="left"/>
      <w:pPr>
        <w:ind w:left="10185" w:hanging="360"/>
      </w:pPr>
    </w:lvl>
    <w:lvl w:ilvl="5" w:tplc="0422001B" w:tentative="1">
      <w:start w:val="1"/>
      <w:numFmt w:val="lowerRoman"/>
      <w:lvlText w:val="%6."/>
      <w:lvlJc w:val="right"/>
      <w:pPr>
        <w:ind w:left="10905" w:hanging="180"/>
      </w:pPr>
    </w:lvl>
    <w:lvl w:ilvl="6" w:tplc="0422000F" w:tentative="1">
      <w:start w:val="1"/>
      <w:numFmt w:val="decimal"/>
      <w:lvlText w:val="%7."/>
      <w:lvlJc w:val="left"/>
      <w:pPr>
        <w:ind w:left="11625" w:hanging="360"/>
      </w:pPr>
    </w:lvl>
    <w:lvl w:ilvl="7" w:tplc="04220019" w:tentative="1">
      <w:start w:val="1"/>
      <w:numFmt w:val="lowerLetter"/>
      <w:lvlText w:val="%8."/>
      <w:lvlJc w:val="left"/>
      <w:pPr>
        <w:ind w:left="12345" w:hanging="360"/>
      </w:pPr>
    </w:lvl>
    <w:lvl w:ilvl="8" w:tplc="0422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3" w15:restartNumberingAfterBreak="0">
    <w:nsid w:val="11E40CFB"/>
    <w:multiLevelType w:val="hybridMultilevel"/>
    <w:tmpl w:val="6E3C822A"/>
    <w:lvl w:ilvl="0" w:tplc="0480E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CD6"/>
    <w:multiLevelType w:val="hybridMultilevel"/>
    <w:tmpl w:val="4E186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EFB"/>
    <w:multiLevelType w:val="hybridMultilevel"/>
    <w:tmpl w:val="38323566"/>
    <w:lvl w:ilvl="0" w:tplc="E43A20E4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57C8D"/>
    <w:rsid w:val="000712F7"/>
    <w:rsid w:val="0007428E"/>
    <w:rsid w:val="000B00FF"/>
    <w:rsid w:val="000C196D"/>
    <w:rsid w:val="000E1C81"/>
    <w:rsid w:val="000E4577"/>
    <w:rsid w:val="000F09BC"/>
    <w:rsid w:val="00127F0B"/>
    <w:rsid w:val="001B1FB4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EE1"/>
    <w:rsid w:val="00275885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C5B89"/>
    <w:rsid w:val="003F237A"/>
    <w:rsid w:val="0040205F"/>
    <w:rsid w:val="00454FD8"/>
    <w:rsid w:val="004632C1"/>
    <w:rsid w:val="00475DDB"/>
    <w:rsid w:val="00491609"/>
    <w:rsid w:val="00496163"/>
    <w:rsid w:val="0049673F"/>
    <w:rsid w:val="004A6DB3"/>
    <w:rsid w:val="004B2FDA"/>
    <w:rsid w:val="004C1BE0"/>
    <w:rsid w:val="004E4503"/>
    <w:rsid w:val="004F7101"/>
    <w:rsid w:val="004F771E"/>
    <w:rsid w:val="00507049"/>
    <w:rsid w:val="00541D10"/>
    <w:rsid w:val="00543731"/>
    <w:rsid w:val="005469C6"/>
    <w:rsid w:val="00564796"/>
    <w:rsid w:val="0056565E"/>
    <w:rsid w:val="0056617A"/>
    <w:rsid w:val="00581809"/>
    <w:rsid w:val="005D2664"/>
    <w:rsid w:val="005E387B"/>
    <w:rsid w:val="0060663E"/>
    <w:rsid w:val="006329BC"/>
    <w:rsid w:val="00654AF0"/>
    <w:rsid w:val="00697810"/>
    <w:rsid w:val="006B1479"/>
    <w:rsid w:val="006B1AB7"/>
    <w:rsid w:val="006C2EA6"/>
    <w:rsid w:val="006D0519"/>
    <w:rsid w:val="006E460A"/>
    <w:rsid w:val="00700B47"/>
    <w:rsid w:val="007320E2"/>
    <w:rsid w:val="00743B94"/>
    <w:rsid w:val="00756887"/>
    <w:rsid w:val="0076660C"/>
    <w:rsid w:val="00775AEB"/>
    <w:rsid w:val="00786232"/>
    <w:rsid w:val="007906D0"/>
    <w:rsid w:val="007A4664"/>
    <w:rsid w:val="007B01E7"/>
    <w:rsid w:val="007D0B54"/>
    <w:rsid w:val="007E12B0"/>
    <w:rsid w:val="007E31C7"/>
    <w:rsid w:val="00810CE7"/>
    <w:rsid w:val="00812B0F"/>
    <w:rsid w:val="00831C23"/>
    <w:rsid w:val="008658C8"/>
    <w:rsid w:val="00882A0D"/>
    <w:rsid w:val="008845C1"/>
    <w:rsid w:val="00891234"/>
    <w:rsid w:val="00892A99"/>
    <w:rsid w:val="008A6792"/>
    <w:rsid w:val="008B0590"/>
    <w:rsid w:val="008B1330"/>
    <w:rsid w:val="008B3E5B"/>
    <w:rsid w:val="008C01FF"/>
    <w:rsid w:val="008C7DF4"/>
    <w:rsid w:val="008F1007"/>
    <w:rsid w:val="008F66C7"/>
    <w:rsid w:val="00906EAE"/>
    <w:rsid w:val="00926E71"/>
    <w:rsid w:val="0093483C"/>
    <w:rsid w:val="0094140A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D41F6"/>
    <w:rsid w:val="00AE3619"/>
    <w:rsid w:val="00AE414E"/>
    <w:rsid w:val="00B02933"/>
    <w:rsid w:val="00B07F64"/>
    <w:rsid w:val="00B1468F"/>
    <w:rsid w:val="00B4353D"/>
    <w:rsid w:val="00B75009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3EBB"/>
    <w:rsid w:val="00C95DDB"/>
    <w:rsid w:val="00C97F8C"/>
    <w:rsid w:val="00D01A51"/>
    <w:rsid w:val="00D03E0B"/>
    <w:rsid w:val="00D27CA7"/>
    <w:rsid w:val="00D72162"/>
    <w:rsid w:val="00D73608"/>
    <w:rsid w:val="00D8538B"/>
    <w:rsid w:val="00D90D46"/>
    <w:rsid w:val="00DA54C4"/>
    <w:rsid w:val="00DB2180"/>
    <w:rsid w:val="00DB5CEC"/>
    <w:rsid w:val="00DC195E"/>
    <w:rsid w:val="00DC6907"/>
    <w:rsid w:val="00DD169F"/>
    <w:rsid w:val="00DD4874"/>
    <w:rsid w:val="00DE1DEF"/>
    <w:rsid w:val="00E07536"/>
    <w:rsid w:val="00E20A18"/>
    <w:rsid w:val="00E23FCA"/>
    <w:rsid w:val="00E2537D"/>
    <w:rsid w:val="00E26941"/>
    <w:rsid w:val="00E335E5"/>
    <w:rsid w:val="00E52077"/>
    <w:rsid w:val="00E6778F"/>
    <w:rsid w:val="00E8607F"/>
    <w:rsid w:val="00EB595D"/>
    <w:rsid w:val="00ED6F28"/>
    <w:rsid w:val="00EF5900"/>
    <w:rsid w:val="00F2379B"/>
    <w:rsid w:val="00F5026C"/>
    <w:rsid w:val="00F52BF7"/>
    <w:rsid w:val="00F633D4"/>
    <w:rsid w:val="00F67689"/>
    <w:rsid w:val="00F80148"/>
    <w:rsid w:val="00FA2ADB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94B4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3483C"/>
  </w:style>
  <w:style w:type="character" w:customStyle="1" w:styleId="rvts9">
    <w:name w:val="rvts9"/>
    <w:basedOn w:val="a0"/>
    <w:rsid w:val="0093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4954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27</cp:revision>
  <cp:lastPrinted>2021-06-14T12:50:00Z</cp:lastPrinted>
  <dcterms:created xsi:type="dcterms:W3CDTF">2019-09-18T08:34:00Z</dcterms:created>
  <dcterms:modified xsi:type="dcterms:W3CDTF">2021-06-15T12:04:00Z</dcterms:modified>
</cp:coreProperties>
</file>