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38B">
        <w:rPr>
          <w:rFonts w:ascii="Times New Roman" w:hAnsi="Times New Roman" w:cs="Times New Roman"/>
          <w:sz w:val="24"/>
          <w:szCs w:val="24"/>
          <w:u w:val="single"/>
        </w:rPr>
        <w:t>39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538B">
        <w:rPr>
          <w:rFonts w:ascii="Times New Roman" w:hAnsi="Times New Roman" w:cs="Times New Roman"/>
          <w:sz w:val="24"/>
          <w:szCs w:val="24"/>
          <w:u w:val="single"/>
        </w:rPr>
        <w:t>17.03.2021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вакантної посади державного службовця категорії «Б» </w:t>
      </w:r>
      <w:r w:rsidR="00275885">
        <w:rPr>
          <w:rFonts w:ascii="Times New Roman" w:hAnsi="Times New Roman" w:cs="Times New Roman"/>
          <w:b/>
          <w:sz w:val="24"/>
          <w:szCs w:val="24"/>
        </w:rPr>
        <w:t>начальника відділу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275885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Організовує правову роботу, спрямовану на правильне застосування, неухильне дотримання та запобігання невиконанню вимог законодавства, інших нормативних актів територіальним управлінням Державної судової адміністрації України в Волинській області та працівниками територіального управління під час покладених на них завдань і функціональних обов’язків, а також представлення інтересів територіального управління в судах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Забезпечує реалізацію державної політики з питань кадрової роботи та державної служби у територіальному управлінні. Разом з іншими структурними підрозділами узагальнює практику роботи з кадрами, вносить начальнику управління пропозиції щодо її вдосконалення.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Здійснює керівництво діяльністю відділу, розподіляє обов'язки між працівниками відділу, очолює та контролює їх роботу.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Організовує претензійну та позовну роботу, здійснює контроль за її проведенням.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територіального управління,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Організовує проведення внутрішніх навчань державних службовців територіального управління та місцевих судів області;</w:t>
            </w:r>
            <w:bookmarkStart w:id="0" w:name="n52"/>
            <w:bookmarkEnd w:id="0"/>
            <w:r w:rsidRPr="003714A8">
              <w:rPr>
                <w:rFonts w:ascii="Times New Roman" w:hAnsi="Times New Roman" w:cs="Times New Roman"/>
              </w:rPr>
              <w:t xml:space="preserve"> здійснює планування професійного навчання державних службовців територіального управління та місцевих судів області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Сприяє своєчасному вжиттю заходів до усунення порушень, зазначених у судових рішеннях, відповідних документах правоохоронних і контролюючих органів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D8538B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75885" w:rsidRPr="003714A8">
              <w:rPr>
                <w:rFonts w:ascii="Times New Roman" w:hAnsi="Times New Roman" w:cs="Times New Roman"/>
              </w:rPr>
              <w:t>абезпечує планування службової кар’єри,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обов’язків</w:t>
            </w:r>
            <w:r w:rsidR="00275885"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Здійснює організаційне забезпечення роботи атестаційної та конкурсної комісій, проведення щорічної оцінки виконання державними службовцями покладених на них обов’язків та завдань; контролює проведення цієї роботи в місцевих загальних судах області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275885" w:rsidP="00275885">
            <w:pPr>
              <w:pStyle w:val="a5"/>
              <w:numPr>
                <w:ilvl w:val="0"/>
                <w:numId w:val="8"/>
              </w:numPr>
              <w:spacing w:after="150"/>
              <w:ind w:left="-37" w:firstLine="97"/>
              <w:jc w:val="both"/>
              <w:rPr>
                <w:rFonts w:ascii="Times New Roman" w:hAnsi="Times New Roman" w:cs="Times New Roman"/>
              </w:rPr>
            </w:pPr>
            <w:r w:rsidRPr="003714A8">
              <w:rPr>
                <w:rFonts w:ascii="Times New Roman" w:hAnsi="Times New Roman" w:cs="Times New Roman"/>
              </w:rPr>
              <w:t>Контролює розроблення посадових інструкцій державних службовців територіального управління, які затверджує керівник державної служби, а також переглядає їх на відповідність встановленим законодавством вимогам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885" w:rsidRPr="003714A8" w:rsidRDefault="00275885" w:rsidP="00BF0953">
            <w:pPr>
              <w:pStyle w:val="ab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Умови оплати праці</w:t>
            </w:r>
          </w:p>
        </w:tc>
        <w:tc>
          <w:tcPr>
            <w:tcW w:w="7221" w:type="dxa"/>
          </w:tcPr>
          <w:p w:rsidR="00D8538B" w:rsidRPr="00CA3A36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9 180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D8538B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1"/>
            <w:bookmarkEnd w:id="1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2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3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4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5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176"/>
            <w:bookmarkEnd w:id="6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446"/>
            <w:bookmarkEnd w:id="7"/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177"/>
            <w:bookmarkEnd w:id="8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9" w:name="n1508"/>
            <w:bookmarkEnd w:id="9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НАДС до </w:t>
            </w:r>
            <w:r w:rsidR="00D8538B" w:rsidRPr="00D8538B">
              <w:rPr>
                <w:rFonts w:ascii="Times New Roman" w:hAnsi="Times New Roman" w:cs="Times New Roman"/>
              </w:rPr>
              <w:t>06</w:t>
            </w:r>
            <w:r w:rsidRPr="00D8538B">
              <w:rPr>
                <w:rFonts w:ascii="Times New Roman" w:hAnsi="Times New Roman" w:cs="Times New Roman"/>
              </w:rPr>
              <w:t xml:space="preserve"> </w:t>
            </w:r>
            <w:r w:rsidR="00D8538B" w:rsidRPr="00D8538B">
              <w:rPr>
                <w:rFonts w:ascii="Times New Roman" w:hAnsi="Times New Roman" w:cs="Times New Roman"/>
              </w:rPr>
              <w:t>квітня</w:t>
            </w:r>
            <w:r w:rsidRPr="00D8538B">
              <w:rPr>
                <w:rFonts w:ascii="Times New Roman" w:hAnsi="Times New Roman" w:cs="Times New Roman"/>
              </w:rPr>
              <w:t xml:space="preserve"> 202</w:t>
            </w:r>
            <w:r w:rsidR="00D8538B" w:rsidRPr="00D8538B">
              <w:rPr>
                <w:rFonts w:ascii="Times New Roman" w:hAnsi="Times New Roman" w:cs="Times New Roman"/>
              </w:rPr>
              <w:t>1</w:t>
            </w:r>
            <w:r w:rsidRPr="00D8538B">
              <w:rPr>
                <w:rFonts w:ascii="Times New Roman" w:hAnsi="Times New Roman" w:cs="Times New Roman"/>
              </w:rPr>
              <w:t xml:space="preserve"> року.</w:t>
            </w:r>
          </w:p>
          <w:p w:rsidR="00275885" w:rsidRPr="000F09B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6C2EA6" w:rsidRDefault="00275885" w:rsidP="002758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5900">
              <w:rPr>
                <w:rFonts w:ascii="Times New Roman" w:hAnsi="Times New Roman" w:cs="Times New Roman"/>
                <w:b/>
              </w:rPr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b/>
              </w:rPr>
              <w:t>оцінювання кандидатів.</w:t>
            </w:r>
          </w:p>
        </w:tc>
        <w:tc>
          <w:tcPr>
            <w:tcW w:w="7221" w:type="dxa"/>
          </w:tcPr>
          <w:p w:rsidR="00275885" w:rsidRPr="00D8538B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D8538B" w:rsidRPr="00D8538B">
              <w:rPr>
                <w:rFonts w:ascii="Times New Roman" w:hAnsi="Times New Roman" w:cs="Times New Roman"/>
              </w:rPr>
              <w:t>12 квітня 2021</w:t>
            </w:r>
            <w:r w:rsidRPr="00D8538B">
              <w:rPr>
                <w:rFonts w:ascii="Times New Roman" w:hAnsi="Times New Roman" w:cs="Times New Roman"/>
              </w:rPr>
              <w:t xml:space="preserve"> року, початок о 1</w:t>
            </w:r>
            <w:r w:rsidRPr="00D8538B">
              <w:rPr>
                <w:rFonts w:ascii="Times New Roman" w:hAnsi="Times New Roman" w:cs="Times New Roman"/>
                <w:lang w:val="ru-RU"/>
              </w:rPr>
              <w:t>0</w:t>
            </w:r>
            <w:r w:rsidRPr="00D8538B">
              <w:rPr>
                <w:rFonts w:ascii="Times New Roman" w:hAnsi="Times New Roman" w:cs="Times New Roman"/>
              </w:rPr>
              <w:t xml:space="preserve"> год.</w:t>
            </w:r>
          </w:p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  <w:r w:rsidRPr="00E075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Бащук Олена  Миколаївна           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7132">
              <w:rPr>
                <w:sz w:val="22"/>
                <w:szCs w:val="22"/>
              </w:rPr>
              <w:t xml:space="preserve">ища </w:t>
            </w:r>
            <w:r>
              <w:rPr>
                <w:sz w:val="22"/>
                <w:szCs w:val="22"/>
              </w:rPr>
              <w:t xml:space="preserve">юридична </w:t>
            </w:r>
            <w:r w:rsidRPr="009E7132">
              <w:rPr>
                <w:sz w:val="22"/>
                <w:szCs w:val="22"/>
              </w:rPr>
              <w:t>освіта</w:t>
            </w:r>
            <w:r>
              <w:rPr>
                <w:sz w:val="22"/>
                <w:szCs w:val="22"/>
              </w:rPr>
              <w:t>, або в галузі державного управління</w:t>
            </w:r>
            <w:r w:rsidRPr="009E7132">
              <w:rPr>
                <w:sz w:val="22"/>
                <w:szCs w:val="22"/>
              </w:rPr>
              <w:t xml:space="preserve"> з освітнім ступенем магістра (або прирівняна до неї вища освіта за освітньо-квал</w:t>
            </w:r>
            <w:r>
              <w:rPr>
                <w:sz w:val="22"/>
                <w:szCs w:val="22"/>
              </w:rPr>
              <w:t>іфікаційним рівнем спеціаліста)</w:t>
            </w:r>
            <w:r w:rsidRPr="009E7132">
              <w:rPr>
                <w:sz w:val="22"/>
                <w:szCs w:val="22"/>
              </w:rPr>
              <w:t xml:space="preserve">. </w:t>
            </w:r>
          </w:p>
          <w:p w:rsidR="00275885" w:rsidRPr="009E7132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17FCE">
              <w:rPr>
                <w:rFonts w:ascii="Times New Roman" w:hAnsi="Times New Roman" w:cs="Times New Roman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rFonts w:ascii="Times New Roman" w:hAnsi="Times New Roman" w:cs="Times New Roman"/>
              </w:rPr>
              <w:t>и власності не менше двох років</w:t>
            </w:r>
            <w:r w:rsidRPr="00517FCE">
              <w:rPr>
                <w:rFonts w:ascii="Times New Roman" w:hAnsi="Times New Roman" w:cs="Times New Roman"/>
              </w:rPr>
              <w:t>;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E07536" w:rsidTr="00BF0953">
        <w:trPr>
          <w:gridAfter w:val="1"/>
          <w:wAfter w:w="10" w:type="dxa"/>
          <w:trHeight w:val="1721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6C2EA6" w:rsidRDefault="00275885" w:rsidP="00BF0953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275885" w:rsidRDefault="00275885" w:rsidP="00275885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75885" w:rsidRDefault="00275885" w:rsidP="00275885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275885" w:rsidRPr="00DA7CFD" w:rsidRDefault="00275885" w:rsidP="00275885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pStyle w:val="ab"/>
              <w:spacing w:before="0" w:beforeAutospacing="0" w:after="0" w:afterAutospacing="0"/>
              <w:ind w:left="57" w:right="57"/>
              <w:rPr>
                <w:b/>
              </w:rPr>
            </w:pPr>
            <w:r w:rsidRPr="002067CE">
              <w:rPr>
                <w:lang w:val="uk-UA"/>
              </w:rPr>
              <w:t>Досягнення результатів</w:t>
            </w:r>
          </w:p>
        </w:tc>
        <w:tc>
          <w:tcPr>
            <w:tcW w:w="7221" w:type="dxa"/>
          </w:tcPr>
          <w:p w:rsidR="00275885" w:rsidRPr="002067CE" w:rsidRDefault="00275885" w:rsidP="00BF0953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чіткого бачення результату діяльності;</w:t>
            </w:r>
          </w:p>
          <w:p w:rsidR="00275885" w:rsidRPr="002067CE" w:rsidRDefault="00275885" w:rsidP="00BF0953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Вміння фокусувати зусилля для досягнення результату діяльності;</w:t>
            </w:r>
          </w:p>
          <w:p w:rsidR="00275885" w:rsidRPr="00E07536" w:rsidRDefault="00275885" w:rsidP="00BF0953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Вміння запобігати та ефективно</w:t>
            </w:r>
            <w:r w:rsidRPr="00271B2A">
              <w:t xml:space="preserve"> </w:t>
            </w:r>
            <w:r>
              <w:rPr>
                <w:lang w:val="uk-UA"/>
              </w:rPr>
              <w:t>долати перешкоди.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271B2A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B2A">
              <w:rPr>
                <w:rFonts w:ascii="Times New Roman" w:hAnsi="Times New Roman" w:cs="Times New Roman"/>
              </w:rPr>
              <w:t>Стресостійкість</w:t>
            </w:r>
            <w:proofErr w:type="spellEnd"/>
          </w:p>
        </w:tc>
        <w:tc>
          <w:tcPr>
            <w:tcW w:w="7221" w:type="dxa"/>
          </w:tcPr>
          <w:p w:rsidR="00275885" w:rsidRPr="00271B2A" w:rsidRDefault="00275885" w:rsidP="00BF0953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Уміння розуміти та управляти своїми емоціями;</w:t>
            </w:r>
          </w:p>
          <w:p w:rsidR="00275885" w:rsidRPr="00271B2A" w:rsidRDefault="00275885" w:rsidP="00BF0953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до самоконтролю;</w:t>
            </w:r>
          </w:p>
          <w:p w:rsidR="00275885" w:rsidRPr="00271B2A" w:rsidRDefault="00275885" w:rsidP="00BF0953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275885" w:rsidRPr="00E07536" w:rsidRDefault="00275885" w:rsidP="00BF0953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Оптимізм.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275885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</w:t>
            </w:r>
            <w:r>
              <w:rPr>
                <w:rFonts w:ascii="Times New Roman" w:hAnsi="Times New Roman" w:cs="Times New Roman"/>
              </w:rPr>
              <w:t>аїни «Про запобігання корупції»;</w:t>
            </w:r>
          </w:p>
          <w:p w:rsidR="00275885" w:rsidRPr="00E07536" w:rsidRDefault="00275885" w:rsidP="00F633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33D4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F633D4" w:rsidRPr="00E07536" w:rsidRDefault="00F633D4" w:rsidP="00F633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F633D4" w:rsidRPr="00E07536" w:rsidRDefault="00F633D4" w:rsidP="00F633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F633D4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71B2A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F633D4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Закон України «Про захист персональних даних»;</w:t>
            </w:r>
          </w:p>
          <w:p w:rsidR="00F633D4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71B2A">
              <w:rPr>
                <w:rFonts w:ascii="Times New Roman" w:hAnsi="Times New Roman" w:cs="Times New Roman"/>
              </w:rPr>
              <w:t>Закон України «Про звернення громадян»;</w:t>
            </w:r>
          </w:p>
          <w:p w:rsidR="00F633D4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71B2A">
              <w:rPr>
                <w:rFonts w:ascii="Times New Roman" w:hAnsi="Times New Roman" w:cs="Times New Roman"/>
              </w:rPr>
              <w:t>Закон України «Про доступ до публічної інформації»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33D4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Постанова Кабінету Міністрів України </w:t>
            </w:r>
            <w:r w:rsidRPr="00271B2A">
              <w:rPr>
                <w:rFonts w:ascii="Times New Roman" w:hAnsi="Times New Roman" w:cs="Times New Roman"/>
              </w:rPr>
              <w:t>від 23 серпня 2017 р. №640</w:t>
            </w:r>
            <w:r>
              <w:rPr>
                <w:rFonts w:ascii="Times New Roman" w:hAnsi="Times New Roman" w:cs="Times New Roman"/>
              </w:rPr>
              <w:t xml:space="preserve"> «Про затвердження </w:t>
            </w:r>
            <w:hyperlink r:id="rId11" w:anchor="n11" w:history="1">
              <w:r w:rsidRPr="00271B2A">
                <w:rPr>
                  <w:rFonts w:ascii="Times New Roman" w:hAnsi="Times New Roman" w:cs="Times New Roman"/>
                </w:rPr>
                <w:t>Порядк</w:t>
              </w:r>
            </w:hyperlink>
            <w:r>
              <w:rPr>
                <w:rFonts w:ascii="Times New Roman" w:hAnsi="Times New Roman" w:cs="Times New Roman"/>
              </w:rPr>
              <w:t>у</w:t>
            </w:r>
            <w:hyperlink r:id="rId12" w:anchor="n11" w:history="1">
              <w:r w:rsidRPr="00271B2A">
                <w:rPr>
                  <w:rFonts w:ascii="Times New Roman" w:hAnsi="Times New Roman" w:cs="Times New Roman"/>
                </w:rPr>
                <w:t xml:space="preserve"> проведення оцінювання результатів службової діяльності державних службовців</w:t>
              </w:r>
            </w:hyperlink>
            <w:r>
              <w:rPr>
                <w:rFonts w:ascii="Times New Roman" w:hAnsi="Times New Roman" w:cs="Times New Roman"/>
              </w:rPr>
              <w:t>»;</w:t>
            </w:r>
          </w:p>
          <w:p w:rsidR="00F633D4" w:rsidRPr="00E07536" w:rsidRDefault="00F633D4" w:rsidP="00F6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 Постанова Кабінету Міністрів України від 06</w:t>
            </w:r>
            <w:r w:rsidRPr="00271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лютого</w:t>
            </w:r>
            <w:r w:rsidRPr="00271B2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271B2A">
              <w:rPr>
                <w:rFonts w:ascii="Times New Roman" w:hAnsi="Times New Roman" w:cs="Times New Roman"/>
              </w:rPr>
              <w:t xml:space="preserve"> р. №</w:t>
            </w:r>
            <w:r>
              <w:rPr>
                <w:rFonts w:ascii="Times New Roman" w:hAnsi="Times New Roman" w:cs="Times New Roman"/>
              </w:rPr>
              <w:t>106 «</w:t>
            </w:r>
            <w:r w:rsidRPr="00ED1CF4">
              <w:rPr>
                <w:rFonts w:ascii="Times New Roman" w:hAnsi="Times New Roman" w:cs="Times New Roman"/>
              </w:rPr>
              <w:t>Про затвердження Положення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      </w:r>
            <w:r>
              <w:rPr>
                <w:rFonts w:ascii="Times New Roman" w:hAnsi="Times New Roman" w:cs="Times New Roman"/>
              </w:rPr>
              <w:t>»</w:t>
            </w:r>
            <w:bookmarkStart w:id="11" w:name="_GoBack"/>
            <w:bookmarkEnd w:id="11"/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64796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01A51"/>
    <w:rsid w:val="00D03E0B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33D4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CFA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640-201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640-2017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5338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14</cp:revision>
  <cp:lastPrinted>2021-03-17T06:16:00Z</cp:lastPrinted>
  <dcterms:created xsi:type="dcterms:W3CDTF">2019-09-18T08:34:00Z</dcterms:created>
  <dcterms:modified xsi:type="dcterms:W3CDTF">2021-03-17T06:19:00Z</dcterms:modified>
</cp:coreProperties>
</file>